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E10F2" w14:textId="47399619" w:rsidR="00FC51CE" w:rsidRDefault="009E7CBA" w:rsidP="00FC51CE">
      <w:pPr>
        <w:rPr>
          <w:b/>
          <w:bCs/>
          <w:szCs w:val="24"/>
        </w:rPr>
      </w:pPr>
      <w:r>
        <w:rPr>
          <w:b/>
          <w:bCs/>
          <w:noProof/>
          <w:szCs w:val="24"/>
          <w:lang w:val="en-US" w:eastAsia="zh-TW"/>
        </w:rPr>
        <w:pict w14:anchorId="7D3F2F25">
          <v:shapetype id="_x0000_t202" coordsize="21600,21600" o:spt="202" path="m,l,21600r21600,l21600,xe">
            <v:stroke joinstyle="miter"/>
            <v:path gradientshapeok="t" o:connecttype="rect"/>
          </v:shapetype>
          <v:shape id="_x0000_s1026" type="#_x0000_t202" style="position:absolute;margin-left:0;margin-top:-5.35pt;width:322.65pt;height:80.4pt;z-index:-251658240;mso-position-horizontal:center;mso-width-relative:margin;mso-height-relative:margin" wrapcoords="0 0" filled="f" stroked="f">
            <v:textbox>
              <w:txbxContent>
                <w:p w14:paraId="76DF4D19" w14:textId="77777777" w:rsidR="00D41595" w:rsidRDefault="00D41595" w:rsidP="00D41595">
                  <w:pPr>
                    <w:jc w:val="center"/>
                    <w:rPr>
                      <w:b/>
                      <w:bCs/>
                      <w:sz w:val="28"/>
                    </w:rPr>
                  </w:pPr>
                  <w:r w:rsidRPr="00D41595">
                    <w:rPr>
                      <w:noProof/>
                      <w:szCs w:val="24"/>
                      <w:lang w:eastAsia="lt-LT"/>
                    </w:rPr>
                    <w:drawing>
                      <wp:inline distT="0" distB="0" distL="0" distR="0" wp14:anchorId="586F2A39" wp14:editId="3BB3AF17">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6F9DAB78"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r w:rsidR="00FC51CE">
        <w:rPr>
          <w:b/>
          <w:bCs/>
          <w:szCs w:val="24"/>
        </w:rPr>
        <w:t xml:space="preserve"> </w:t>
      </w:r>
    </w:p>
    <w:p w14:paraId="21A4E632" w14:textId="51D18EE0" w:rsidR="00D41595" w:rsidRDefault="00D41595" w:rsidP="00FC51CE">
      <w:pPr>
        <w:rPr>
          <w:b/>
          <w:bCs/>
          <w:szCs w:val="24"/>
        </w:rPr>
      </w:pPr>
    </w:p>
    <w:p w14:paraId="4E1FBD8B" w14:textId="77777777" w:rsidR="00901FF1" w:rsidRPr="00D41595" w:rsidRDefault="00901FF1" w:rsidP="00B40332">
      <w:pPr>
        <w:ind w:left="7938"/>
        <w:rPr>
          <w:b/>
          <w:bCs/>
          <w:szCs w:val="24"/>
        </w:rPr>
      </w:pPr>
    </w:p>
    <w:p w14:paraId="32B74BDF" w14:textId="77777777" w:rsidR="00D41595" w:rsidRDefault="00D41595" w:rsidP="00D41595">
      <w:pPr>
        <w:keepNext/>
        <w:framePr w:h="284" w:hRule="exact" w:hSpace="142" w:vSpace="142" w:wrap="notBeside" w:vAnchor="page" w:hAnchor="margin" w:y="14856" w:anchorLock="1"/>
      </w:pPr>
    </w:p>
    <w:p w14:paraId="3CE683B4" w14:textId="77777777" w:rsidR="00901FF1" w:rsidRDefault="00901FF1" w:rsidP="00E92ECE">
      <w:pPr>
        <w:jc w:val="center"/>
        <w:rPr>
          <w:b/>
          <w:bCs/>
          <w:szCs w:val="24"/>
          <w:lang w:val="en-US"/>
        </w:rPr>
      </w:pPr>
    </w:p>
    <w:p w14:paraId="72575420" w14:textId="77777777" w:rsidR="00901FF1" w:rsidRPr="00484A2D" w:rsidRDefault="00901FF1" w:rsidP="00E92ECE">
      <w:pPr>
        <w:jc w:val="center"/>
        <w:rPr>
          <w:b/>
          <w:bCs/>
          <w:szCs w:val="24"/>
          <w:lang w:val="en-US"/>
        </w:rPr>
        <w:sectPr w:rsidR="00901FF1" w:rsidRPr="00484A2D" w:rsidSect="00402BC1">
          <w:type w:val="continuous"/>
          <w:pgSz w:w="11906" w:h="16838" w:code="9"/>
          <w:pgMar w:top="1134" w:right="567" w:bottom="1134" w:left="1701" w:header="567" w:footer="510" w:gutter="0"/>
          <w:cols w:space="1296"/>
          <w:titlePg/>
          <w:docGrid w:linePitch="272"/>
        </w:sectPr>
      </w:pPr>
    </w:p>
    <w:p w14:paraId="1B433142" w14:textId="77777777" w:rsidR="00901FF1" w:rsidRDefault="00901FF1" w:rsidP="00313699">
      <w:pPr>
        <w:jc w:val="center"/>
        <w:rPr>
          <w:szCs w:val="24"/>
        </w:rPr>
      </w:pPr>
    </w:p>
    <w:p w14:paraId="393584A5" w14:textId="77777777" w:rsidR="00FC51CE" w:rsidRDefault="00FC51CE" w:rsidP="007B16E6">
      <w:pPr>
        <w:widowControl w:val="0"/>
        <w:autoSpaceDE w:val="0"/>
        <w:autoSpaceDN w:val="0"/>
        <w:adjustRightInd w:val="0"/>
        <w:jc w:val="center"/>
        <w:rPr>
          <w:b/>
          <w:bCs/>
        </w:rPr>
      </w:pPr>
    </w:p>
    <w:p w14:paraId="7BC57E86" w14:textId="42545B0B" w:rsidR="007B16E6" w:rsidRPr="00E13BDF" w:rsidRDefault="007B16E6" w:rsidP="007B16E6">
      <w:pPr>
        <w:widowControl w:val="0"/>
        <w:autoSpaceDE w:val="0"/>
        <w:autoSpaceDN w:val="0"/>
        <w:adjustRightInd w:val="0"/>
        <w:jc w:val="center"/>
        <w:rPr>
          <w:b/>
          <w:bCs/>
        </w:rPr>
      </w:pPr>
      <w:r w:rsidRPr="00E13BDF">
        <w:rPr>
          <w:b/>
          <w:bCs/>
        </w:rPr>
        <w:t>SPRENDIMAS</w:t>
      </w:r>
    </w:p>
    <w:p w14:paraId="6293DACE" w14:textId="007C126A" w:rsidR="0033142E" w:rsidRPr="00E13BDF" w:rsidRDefault="0033142E" w:rsidP="007B16E6">
      <w:pPr>
        <w:widowControl w:val="0"/>
        <w:autoSpaceDE w:val="0"/>
        <w:autoSpaceDN w:val="0"/>
        <w:adjustRightInd w:val="0"/>
        <w:jc w:val="center"/>
        <w:rPr>
          <w:b/>
          <w:bCs/>
        </w:rPr>
      </w:pPr>
      <w:r w:rsidRPr="00E13BDF">
        <w:rPr>
          <w:b/>
        </w:rPr>
        <w:t>DĖL KAZLŲ RŪDOS SAVIVALDYBĖS MOKYMO LĖŠŲ APSKAIČIAVIMO,</w:t>
      </w:r>
      <w:r w:rsidR="000D0A59">
        <w:rPr>
          <w:b/>
        </w:rPr>
        <w:t xml:space="preserve"> </w:t>
      </w:r>
      <w:r w:rsidRPr="00E13BDF">
        <w:rPr>
          <w:b/>
        </w:rPr>
        <w:t>PASKIRSTYMO IR PANAUDOJIMO TVARKOS</w:t>
      </w:r>
      <w:r w:rsidRPr="00E13BDF">
        <w:rPr>
          <w:b/>
          <w:bCs/>
          <w:caps/>
        </w:rPr>
        <w:t xml:space="preserve"> APRAŠO PATVIRTINIMO</w:t>
      </w:r>
    </w:p>
    <w:p w14:paraId="5D3E020D" w14:textId="77777777" w:rsidR="007B16E6" w:rsidRPr="00E13BDF" w:rsidRDefault="007B16E6" w:rsidP="007B16E6">
      <w:pPr>
        <w:widowControl w:val="0"/>
        <w:autoSpaceDE w:val="0"/>
        <w:autoSpaceDN w:val="0"/>
        <w:adjustRightInd w:val="0"/>
        <w:jc w:val="center"/>
        <w:rPr>
          <w:b/>
          <w:bCs/>
        </w:rPr>
      </w:pPr>
    </w:p>
    <w:p w14:paraId="2EE1982C" w14:textId="3DBE70A6" w:rsidR="007B16E6" w:rsidRPr="00E13BDF" w:rsidRDefault="004402CB" w:rsidP="007B16E6">
      <w:pPr>
        <w:widowControl w:val="0"/>
        <w:autoSpaceDE w:val="0"/>
        <w:autoSpaceDN w:val="0"/>
        <w:adjustRightInd w:val="0"/>
        <w:ind w:left="720" w:hanging="720"/>
        <w:jc w:val="center"/>
      </w:pPr>
      <w:r w:rsidRPr="00E13BDF">
        <w:t>2020</w:t>
      </w:r>
      <w:r w:rsidR="007B16E6" w:rsidRPr="00E13BDF">
        <w:t xml:space="preserve"> m.</w:t>
      </w:r>
      <w:r w:rsidR="00FC51CE">
        <w:t xml:space="preserve"> </w:t>
      </w:r>
      <w:r w:rsidR="00FC51CE">
        <w:rPr>
          <w:szCs w:val="24"/>
          <w:shd w:val="clear" w:color="auto" w:fill="FFFFFF"/>
        </w:rPr>
        <w:t xml:space="preserve">lapkričio </w:t>
      </w:r>
      <w:r w:rsidR="00FC51CE">
        <w:rPr>
          <w:szCs w:val="24"/>
          <w:shd w:val="clear" w:color="auto" w:fill="FFFFFF"/>
          <w:lang w:val="en-US"/>
        </w:rPr>
        <w:t xml:space="preserve">30 </w:t>
      </w:r>
      <w:r w:rsidR="00FC51CE">
        <w:rPr>
          <w:szCs w:val="24"/>
          <w:shd w:val="clear" w:color="auto" w:fill="FFFFFF"/>
          <w:lang w:val="en-US"/>
        </w:rPr>
        <w:t xml:space="preserve">d. </w:t>
      </w:r>
      <w:r w:rsidR="007B16E6" w:rsidRPr="00E13BDF">
        <w:t>Nr. TS</w:t>
      </w:r>
      <w:r w:rsidR="00FC51CE">
        <w:t>-266</w:t>
      </w:r>
      <w:r w:rsidR="007B16E6" w:rsidRPr="00E13BDF">
        <w:t xml:space="preserve"> </w:t>
      </w:r>
    </w:p>
    <w:p w14:paraId="1F979598" w14:textId="77777777" w:rsidR="00716FFF" w:rsidRPr="00E13BDF" w:rsidRDefault="007B16E6" w:rsidP="00716FFF">
      <w:pPr>
        <w:widowControl w:val="0"/>
        <w:autoSpaceDE w:val="0"/>
        <w:autoSpaceDN w:val="0"/>
        <w:adjustRightInd w:val="0"/>
        <w:ind w:right="-143"/>
        <w:jc w:val="center"/>
      </w:pPr>
      <w:r w:rsidRPr="00E13BDF">
        <w:t>Kazlų Rūda</w:t>
      </w:r>
    </w:p>
    <w:p w14:paraId="1552B83F" w14:textId="77777777" w:rsidR="00716FFF" w:rsidRPr="00E13BDF" w:rsidRDefault="00716FFF" w:rsidP="00716FFF">
      <w:pPr>
        <w:widowControl w:val="0"/>
        <w:autoSpaceDE w:val="0"/>
        <w:autoSpaceDN w:val="0"/>
        <w:adjustRightInd w:val="0"/>
        <w:ind w:right="-143"/>
        <w:jc w:val="center"/>
      </w:pPr>
    </w:p>
    <w:p w14:paraId="2172FC11" w14:textId="77777777" w:rsidR="0033142E" w:rsidRPr="00E13BDF" w:rsidRDefault="0033142E" w:rsidP="00D9390D">
      <w:pPr>
        <w:pStyle w:val="Pagrindiniotekstotrauka"/>
        <w:spacing w:after="0"/>
        <w:ind w:left="0" w:firstLine="720"/>
        <w:jc w:val="both"/>
      </w:pPr>
      <w:r w:rsidRPr="00E13BDF">
        <w:t>Vadovaudamasi Lietuvos Respublikos vietos savivaldos įstatymo 16 straipsnio 4 dalimi,    18 straipsnio 1 dalimi, Lietuvos Respublikos Vyriausybės 2018-07-11 nutarimu Nr.</w:t>
      </w:r>
      <w:r w:rsidR="00D9390D" w:rsidRPr="00E13BDF">
        <w:t xml:space="preserve"> </w:t>
      </w:r>
      <w:r w:rsidRPr="00E13BDF">
        <w:t>679 patvirtintu Mokymo lėšų apskaičiavimo, paskirstymo ir panaudojimo tvarkos aprašu K</w:t>
      </w:r>
      <w:r w:rsidR="00E13BDF">
        <w:t>azlų Rūdos savivaldybės taryba</w:t>
      </w:r>
      <w:r w:rsidRPr="00E13BDF">
        <w:t xml:space="preserve">  n u s p r e n d ž i a:</w:t>
      </w:r>
    </w:p>
    <w:p w14:paraId="533CCDF9" w14:textId="77777777" w:rsidR="0033142E" w:rsidRPr="00E13BDF" w:rsidRDefault="0033142E" w:rsidP="00D9390D">
      <w:pPr>
        <w:pStyle w:val="Pagrindiniotekstotrauka"/>
        <w:spacing w:after="0"/>
        <w:ind w:left="0" w:firstLine="720"/>
        <w:jc w:val="both"/>
      </w:pPr>
      <w:r w:rsidRPr="00E13BDF">
        <w:t>1.</w:t>
      </w:r>
      <w:r w:rsidR="00E13BDF">
        <w:t xml:space="preserve"> </w:t>
      </w:r>
      <w:r w:rsidRPr="00E13BDF">
        <w:t>Patvirtinti Kazlų Rūdos savivaldybės mokymo lėšų apskaičiavimo, paskirstymo ir panaudojimo tvarkos aprašą (pridedama).</w:t>
      </w:r>
    </w:p>
    <w:p w14:paraId="5EB6B354" w14:textId="77777777" w:rsidR="0033142E" w:rsidRPr="00E13BDF" w:rsidRDefault="0033142E" w:rsidP="00D9390D">
      <w:pPr>
        <w:pStyle w:val="Pagrindiniotekstotrauka"/>
        <w:spacing w:after="0"/>
        <w:ind w:left="0" w:firstLine="720"/>
        <w:jc w:val="both"/>
      </w:pPr>
      <w:r w:rsidRPr="00E13BDF">
        <w:t>2.</w:t>
      </w:r>
      <w:r w:rsidR="00D9390D" w:rsidRPr="00E13BDF">
        <w:t xml:space="preserve"> </w:t>
      </w:r>
      <w:r w:rsidRPr="00E13BDF">
        <w:t>Pripažinti netekusiais galios Kazlų Rūdos savivaldybės tarybos 2018-09-26 sprendimo Nr. TS-167 „Dėl Kazlų Rūdos savivaldybės mokymo lėšų apskaičiavimo, paskirstymo ir panaudojimo tvarkos aprašo patvirtinimo 1 punktą“.</w:t>
      </w:r>
    </w:p>
    <w:p w14:paraId="220A909C" w14:textId="77777777" w:rsidR="0033142E" w:rsidRPr="00E13BDF" w:rsidRDefault="0033142E" w:rsidP="004B1133">
      <w:pPr>
        <w:widowControl w:val="0"/>
        <w:autoSpaceDE w:val="0"/>
        <w:autoSpaceDN w:val="0"/>
        <w:adjustRightInd w:val="0"/>
        <w:ind w:firstLine="720"/>
        <w:jc w:val="both"/>
      </w:pPr>
      <w:r w:rsidRPr="00E13BDF">
        <w:t xml:space="preserve">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 </w:t>
      </w:r>
    </w:p>
    <w:p w14:paraId="0A5A6427" w14:textId="77777777" w:rsidR="0033142E" w:rsidRPr="00E13BDF" w:rsidRDefault="0033142E" w:rsidP="004B1133">
      <w:pPr>
        <w:pStyle w:val="Pagrindiniotekstotrauka"/>
        <w:spacing w:after="0"/>
        <w:jc w:val="both"/>
        <w:rPr>
          <w:u w:val="single"/>
        </w:rPr>
      </w:pPr>
    </w:p>
    <w:p w14:paraId="48C0D77A" w14:textId="77777777" w:rsidR="0033142E" w:rsidRPr="00E13BDF" w:rsidRDefault="0033142E" w:rsidP="004B1133">
      <w:pPr>
        <w:pStyle w:val="Pagrindiniotekstotrauka"/>
        <w:spacing w:after="0"/>
        <w:rPr>
          <w:u w:val="single"/>
        </w:rPr>
      </w:pPr>
    </w:p>
    <w:p w14:paraId="29173CB6" w14:textId="77777777" w:rsidR="0033142E" w:rsidRPr="00E13BDF" w:rsidRDefault="0033142E" w:rsidP="004B1133">
      <w:pPr>
        <w:pStyle w:val="Pagrindiniotekstotrauka"/>
        <w:spacing w:after="0"/>
        <w:rPr>
          <w:u w:val="single"/>
        </w:rPr>
      </w:pPr>
    </w:p>
    <w:p w14:paraId="7B80E057" w14:textId="73F82D49" w:rsidR="0033142E" w:rsidRPr="00E13BDF" w:rsidRDefault="0033142E" w:rsidP="004B1133">
      <w:pPr>
        <w:pStyle w:val="Pagrindiniotekstotrauka"/>
        <w:spacing w:after="0"/>
        <w:ind w:left="0"/>
      </w:pPr>
      <w:r w:rsidRPr="00E13BDF">
        <w:t xml:space="preserve">Savivaldybės meras    </w:t>
      </w:r>
      <w:r w:rsidRPr="00E13BDF">
        <w:tab/>
      </w:r>
      <w:r w:rsidRPr="00E13BDF">
        <w:tab/>
        <w:t xml:space="preserve">                                                                                      </w:t>
      </w:r>
      <w:r w:rsidR="000D0A59">
        <w:t xml:space="preserve">      </w:t>
      </w:r>
      <w:r w:rsidRPr="00E13BDF">
        <w:t>Mantas Varaška</w:t>
      </w:r>
    </w:p>
    <w:p w14:paraId="1A2B5BB9" w14:textId="77777777" w:rsidR="00901FF1" w:rsidRPr="00E13BDF" w:rsidRDefault="00901FF1" w:rsidP="00716FFF">
      <w:pPr>
        <w:ind w:right="-285"/>
        <w:jc w:val="center"/>
        <w:rPr>
          <w:szCs w:val="24"/>
        </w:rPr>
      </w:pPr>
    </w:p>
    <w:p w14:paraId="0C6A9443" w14:textId="77777777" w:rsidR="0033142E" w:rsidRPr="00E13BDF" w:rsidRDefault="0033142E" w:rsidP="00716FFF">
      <w:pPr>
        <w:ind w:right="-285"/>
        <w:jc w:val="center"/>
        <w:rPr>
          <w:szCs w:val="24"/>
        </w:rPr>
      </w:pPr>
    </w:p>
    <w:p w14:paraId="6FC68FD3" w14:textId="77777777" w:rsidR="00225FE9" w:rsidRPr="00E13BDF" w:rsidRDefault="00225FE9" w:rsidP="00716FFF">
      <w:pPr>
        <w:ind w:right="-285"/>
        <w:jc w:val="center"/>
        <w:rPr>
          <w:szCs w:val="24"/>
        </w:rPr>
      </w:pPr>
    </w:p>
    <w:p w14:paraId="2F88886A" w14:textId="77777777" w:rsidR="00225FE9" w:rsidRPr="00E13BDF" w:rsidRDefault="00225FE9" w:rsidP="00716FFF">
      <w:pPr>
        <w:ind w:right="-285"/>
        <w:jc w:val="center"/>
        <w:rPr>
          <w:szCs w:val="24"/>
        </w:rPr>
      </w:pPr>
    </w:p>
    <w:p w14:paraId="23E6209A" w14:textId="77777777" w:rsidR="00225FE9" w:rsidRPr="00E13BDF" w:rsidRDefault="00225FE9" w:rsidP="00716FFF">
      <w:pPr>
        <w:ind w:right="-285"/>
        <w:jc w:val="center"/>
        <w:rPr>
          <w:szCs w:val="24"/>
        </w:rPr>
      </w:pPr>
    </w:p>
    <w:p w14:paraId="4E7D8278" w14:textId="77777777" w:rsidR="00225FE9" w:rsidRPr="00E13BDF" w:rsidRDefault="00225FE9" w:rsidP="00716FFF">
      <w:pPr>
        <w:ind w:right="-285"/>
        <w:jc w:val="center"/>
        <w:rPr>
          <w:szCs w:val="24"/>
        </w:rPr>
      </w:pPr>
    </w:p>
    <w:p w14:paraId="40031D38" w14:textId="77777777" w:rsidR="00225FE9" w:rsidRPr="00E13BDF" w:rsidRDefault="00225FE9" w:rsidP="00716FFF">
      <w:pPr>
        <w:ind w:right="-285"/>
        <w:jc w:val="center"/>
        <w:rPr>
          <w:szCs w:val="24"/>
        </w:rPr>
      </w:pPr>
    </w:p>
    <w:p w14:paraId="5284CF33" w14:textId="77777777" w:rsidR="00225FE9" w:rsidRPr="00E13BDF" w:rsidRDefault="00225FE9" w:rsidP="00716FFF">
      <w:pPr>
        <w:ind w:right="-285"/>
        <w:jc w:val="center"/>
        <w:rPr>
          <w:szCs w:val="24"/>
        </w:rPr>
      </w:pPr>
    </w:p>
    <w:p w14:paraId="4C0DB9E8" w14:textId="77777777" w:rsidR="00225FE9" w:rsidRPr="00E13BDF" w:rsidRDefault="00225FE9" w:rsidP="00716FFF">
      <w:pPr>
        <w:ind w:right="-285"/>
        <w:jc w:val="center"/>
        <w:rPr>
          <w:szCs w:val="24"/>
        </w:rPr>
      </w:pPr>
    </w:p>
    <w:p w14:paraId="584A582A" w14:textId="77777777" w:rsidR="00873540" w:rsidRDefault="00873540" w:rsidP="00716FFF">
      <w:pPr>
        <w:ind w:right="-285"/>
        <w:jc w:val="center"/>
        <w:rPr>
          <w:szCs w:val="24"/>
        </w:rPr>
        <w:sectPr w:rsidR="00873540" w:rsidSect="00F5174F">
          <w:headerReference w:type="even" r:id="rId9"/>
          <w:headerReference w:type="default" r:id="rId10"/>
          <w:headerReference w:type="first" r:id="rId11"/>
          <w:type w:val="continuous"/>
          <w:pgSz w:w="11906" w:h="16838" w:code="9"/>
          <w:pgMar w:top="1134" w:right="567" w:bottom="993" w:left="1701" w:header="567" w:footer="510" w:gutter="0"/>
          <w:cols w:space="1296"/>
          <w:formProt w:val="0"/>
          <w:titlePg/>
          <w:docGrid w:linePitch="272"/>
        </w:sectPr>
      </w:pPr>
    </w:p>
    <w:p w14:paraId="6B3E6074" w14:textId="77777777" w:rsidR="004B1133" w:rsidRDefault="004B1133" w:rsidP="00225FE9">
      <w:pPr>
        <w:ind w:firstLine="5103"/>
      </w:pPr>
    </w:p>
    <w:p w14:paraId="6C072CF5" w14:textId="792067E3" w:rsidR="00225FE9" w:rsidRPr="00E13BDF" w:rsidRDefault="00225FE9" w:rsidP="00225FE9">
      <w:pPr>
        <w:ind w:firstLine="5103"/>
      </w:pPr>
      <w:r w:rsidRPr="00E13BDF">
        <w:t>PATVIRTINTA</w:t>
      </w:r>
    </w:p>
    <w:p w14:paraId="6A5493BC" w14:textId="77777777" w:rsidR="00225FE9" w:rsidRPr="00E13BDF" w:rsidRDefault="00C7205F" w:rsidP="00225FE9">
      <w:pPr>
        <w:ind w:firstLine="5103"/>
      </w:pPr>
      <w:r w:rsidRPr="00E13BDF">
        <w:t>Kazlų Rūdos</w:t>
      </w:r>
      <w:r w:rsidR="00225FE9" w:rsidRPr="00E13BDF">
        <w:t xml:space="preserve"> savivaldybės tarybos</w:t>
      </w:r>
    </w:p>
    <w:p w14:paraId="49B48051" w14:textId="7CA59DCD" w:rsidR="00E13BDF" w:rsidRDefault="00C7205F" w:rsidP="00225FE9">
      <w:pPr>
        <w:ind w:firstLine="5103"/>
      </w:pPr>
      <w:r w:rsidRPr="00E13BDF">
        <w:t>2020 m.</w:t>
      </w:r>
      <w:r w:rsidR="004B1133">
        <w:t xml:space="preserve"> </w:t>
      </w:r>
      <w:r w:rsidR="004B1133">
        <w:rPr>
          <w:szCs w:val="24"/>
          <w:shd w:val="clear" w:color="auto" w:fill="FFFFFF"/>
        </w:rPr>
        <w:t xml:space="preserve">lapkričio </w:t>
      </w:r>
      <w:r w:rsidR="004B1133">
        <w:rPr>
          <w:szCs w:val="24"/>
          <w:shd w:val="clear" w:color="auto" w:fill="FFFFFF"/>
          <w:lang w:val="en-US"/>
        </w:rPr>
        <w:t xml:space="preserve">30 </w:t>
      </w:r>
      <w:r w:rsidRPr="00E13BDF">
        <w:t>d. sprendimu</w:t>
      </w:r>
    </w:p>
    <w:p w14:paraId="2CAB8848" w14:textId="57435232" w:rsidR="00225FE9" w:rsidRPr="00E13BDF" w:rsidRDefault="00C7205F" w:rsidP="00F5174F">
      <w:pPr>
        <w:ind w:firstLine="5103"/>
      </w:pPr>
      <w:r w:rsidRPr="00E13BDF">
        <w:t xml:space="preserve">Nr. </w:t>
      </w:r>
      <w:r w:rsidR="004B1133">
        <w:t>TS-266</w:t>
      </w:r>
    </w:p>
    <w:p w14:paraId="4B97F85D" w14:textId="77777777" w:rsidR="00AE22D2" w:rsidRPr="00E13BDF" w:rsidRDefault="00AE22D2" w:rsidP="00AE22D2">
      <w:pPr>
        <w:jc w:val="both"/>
      </w:pPr>
    </w:p>
    <w:p w14:paraId="201FE932" w14:textId="77777777" w:rsidR="00AE22D2" w:rsidRPr="000D0A59" w:rsidRDefault="00AE22D2" w:rsidP="00F5174F">
      <w:pPr>
        <w:jc w:val="center"/>
        <w:rPr>
          <w:b/>
        </w:rPr>
      </w:pPr>
      <w:r w:rsidRPr="000D0A59">
        <w:rPr>
          <w:b/>
        </w:rPr>
        <w:t>KAZLŲ RŪDOS SAVIVALDYBĖS MOKYMO LĖŠŲ APSKAIČIAVIMO,  PASKIRSTYMO IR PANAUDOJIMO TVARKOS APRAŠAS</w:t>
      </w:r>
    </w:p>
    <w:p w14:paraId="0341DBBD" w14:textId="77777777" w:rsidR="00AE22D2" w:rsidRPr="000D0A59" w:rsidRDefault="00AE22D2" w:rsidP="00F5174F">
      <w:pPr>
        <w:jc w:val="both"/>
      </w:pPr>
    </w:p>
    <w:p w14:paraId="10979A76" w14:textId="77777777" w:rsidR="00AE22D2" w:rsidRPr="000D0A59" w:rsidRDefault="00AE22D2" w:rsidP="00F5174F">
      <w:pPr>
        <w:jc w:val="center"/>
        <w:rPr>
          <w:b/>
        </w:rPr>
      </w:pPr>
      <w:r w:rsidRPr="000D0A59">
        <w:rPr>
          <w:b/>
        </w:rPr>
        <w:t>I SKYRIUS</w:t>
      </w:r>
    </w:p>
    <w:p w14:paraId="230D4835" w14:textId="77777777" w:rsidR="00AE22D2" w:rsidRPr="000D0A59" w:rsidRDefault="00AE22D2" w:rsidP="00F5174F">
      <w:pPr>
        <w:jc w:val="center"/>
        <w:rPr>
          <w:b/>
        </w:rPr>
      </w:pPr>
      <w:r w:rsidRPr="000D0A59">
        <w:rPr>
          <w:b/>
        </w:rPr>
        <w:t>BENDROSIOS NUOSTATOS</w:t>
      </w:r>
    </w:p>
    <w:p w14:paraId="4F97F198" w14:textId="77777777" w:rsidR="00AE22D2" w:rsidRPr="000D0A59" w:rsidRDefault="00AE22D2" w:rsidP="00F5174F">
      <w:pPr>
        <w:spacing w:line="276" w:lineRule="auto"/>
        <w:jc w:val="both"/>
      </w:pPr>
    </w:p>
    <w:p w14:paraId="131C33FB" w14:textId="77777777" w:rsidR="00AE22D2" w:rsidRPr="000D0A59" w:rsidRDefault="00AE22D2" w:rsidP="00F5174F">
      <w:pPr>
        <w:ind w:firstLine="720"/>
        <w:jc w:val="both"/>
      </w:pPr>
      <w:r w:rsidRPr="000D0A59">
        <w:t>1.</w:t>
      </w:r>
      <w:r w:rsidR="00E13BDF" w:rsidRPr="000D0A59">
        <w:t xml:space="preserve"> </w:t>
      </w:r>
      <w:r w:rsidRPr="000D0A59">
        <w:t xml:space="preserve">Kazlų Rūdos savivaldybės mokymo lėšų apskaičiavimo, paskirstymo ir panaudojimo tvarkos </w:t>
      </w:r>
      <w:r w:rsidR="00F9337A" w:rsidRPr="000D0A59">
        <w:t>aprašas (toliau tekste – Tvarka) parengta</w:t>
      </w:r>
      <w:r w:rsidR="00E13BDF" w:rsidRPr="000D0A59">
        <w:t>s</w:t>
      </w:r>
      <w:r w:rsidRPr="000D0A59">
        <w:t xml:space="preserve"> vadovaujantis Mokymo lėšų apskaičiavimo, paskirstymo ir panaudojimo tvarkos aprašu</w:t>
      </w:r>
      <w:r w:rsidR="00F9337A" w:rsidRPr="000D0A59">
        <w:t xml:space="preserve"> (toliau tekste – Aprašas)</w:t>
      </w:r>
      <w:r w:rsidRPr="000D0A59">
        <w:t>, patvirtintu Lietuvos Respublikos Vyriausybės 2018 m. liep</w:t>
      </w:r>
      <w:r w:rsidR="00E13BDF" w:rsidRPr="000D0A59">
        <w:t>os 11 d. nutarimu Nr. 679 „Dėl M</w:t>
      </w:r>
      <w:r w:rsidRPr="000D0A59">
        <w:t>okymo lėšų apskaičiavimo, paskirstymo ir panaudojimo tvarkos aprašo patvirtinimo“.</w:t>
      </w:r>
    </w:p>
    <w:p w14:paraId="3C02DCE8" w14:textId="77777777" w:rsidR="00AE22D2" w:rsidRPr="000D0A59" w:rsidRDefault="00F9337A" w:rsidP="00F5174F">
      <w:pPr>
        <w:ind w:firstLine="720"/>
        <w:jc w:val="both"/>
      </w:pPr>
      <w:r w:rsidRPr="000D0A59">
        <w:t>2. Tvarka</w:t>
      </w:r>
      <w:r w:rsidR="00AE22D2" w:rsidRPr="000D0A59">
        <w:t xml:space="preserve"> reglamentuoja Kazlų Rūdos savivaldybei (toliau tekste – savivaldybė) iš Lietuvos Respublikos valstybės biudžeto (toliau tekste – valstybės biudžetas) skiriamų mokymo lėšų apskaičiavimo, paskirstymo ir panaudojimo tvarką</w:t>
      </w:r>
      <w:r w:rsidR="00E13BDF" w:rsidRPr="000D0A59">
        <w:t>.</w:t>
      </w:r>
      <w:r w:rsidRPr="000D0A59">
        <w:t xml:space="preserve"> Ši Tvarka taikoma</w:t>
      </w:r>
      <w:r w:rsidR="00AE22D2" w:rsidRPr="000D0A59">
        <w:t xml:space="preserve"> Kazlų Rūdos savivaldybės mokykloms ir savivaldybėje esančioms nevalstybinėms mokykloms, teikiančioms ikimokyklinį, priešmokyklinį, bendrąjį ugdymą (toliau – mokyklos), neformaliojo vaikų švietimo mokykloms, pedagoginei psichologinei tarnybai ir Kazlų Rūdos savivaldybės administracijai. </w:t>
      </w:r>
    </w:p>
    <w:p w14:paraId="54E17703" w14:textId="77777777" w:rsidR="00AE22D2" w:rsidRPr="000D0A59" w:rsidRDefault="00F9337A" w:rsidP="00F5174F">
      <w:pPr>
        <w:ind w:firstLine="720"/>
        <w:jc w:val="both"/>
      </w:pPr>
      <w:r w:rsidRPr="000D0A59">
        <w:t>3.</w:t>
      </w:r>
      <w:r w:rsidR="00E13BDF" w:rsidRPr="000D0A59">
        <w:t xml:space="preserve"> </w:t>
      </w:r>
      <w:r w:rsidRPr="000D0A59">
        <w:t>Tvarkos</w:t>
      </w:r>
      <w:r w:rsidR="00AE22D2" w:rsidRPr="000D0A59">
        <w:t xml:space="preserve"> tikslas – užtikrinti mokymo lėšų, skirtų iš valstybės biudžeto, efektyvų naudojimą, taikant mokymo lėšų skyrimo klasei principą, ir ugdymo paslaugų kokybės gerinimą.</w:t>
      </w:r>
    </w:p>
    <w:p w14:paraId="689F99E9" w14:textId="77777777" w:rsidR="00AE22D2" w:rsidRPr="000D0A59" w:rsidRDefault="00AE22D2" w:rsidP="00F5174F">
      <w:pPr>
        <w:ind w:firstLine="720"/>
        <w:jc w:val="both"/>
      </w:pPr>
      <w:r w:rsidRPr="000D0A59">
        <w:t>4.</w:t>
      </w:r>
      <w:r w:rsidR="00E13BDF" w:rsidRPr="000D0A59">
        <w:t xml:space="preserve"> </w:t>
      </w:r>
      <w:r w:rsidRPr="000D0A59">
        <w:t>Mokymo lėšos – lėšos, skiriamos ugdymo planui įgyvendinti, kitoms ugdymo reikmėms finansuoti, ugdymo finansavimo poreikių skirtumams tarp mokyklų sumažinti.</w:t>
      </w:r>
    </w:p>
    <w:p w14:paraId="4DE06818" w14:textId="77777777" w:rsidR="00AE22D2" w:rsidRPr="000D0A59" w:rsidRDefault="00F9337A" w:rsidP="00F5174F">
      <w:pPr>
        <w:ind w:firstLine="720"/>
        <w:jc w:val="both"/>
      </w:pPr>
      <w:r w:rsidRPr="000D0A59">
        <w:t>5.</w:t>
      </w:r>
      <w:r w:rsidR="00E13BDF" w:rsidRPr="000D0A59">
        <w:t xml:space="preserve"> </w:t>
      </w:r>
      <w:r w:rsidRPr="000D0A59">
        <w:t>Tvarkoje</w:t>
      </w:r>
      <w:r w:rsidR="00AE22D2" w:rsidRPr="000D0A59">
        <w:t xml:space="preserve"> vartojamos sąvokos atitinka Lietuvos Respublikos švietimo įstatyme ir </w:t>
      </w:r>
      <w:r w:rsidRPr="000D0A59">
        <w:t xml:space="preserve">Apraše </w:t>
      </w:r>
      <w:r w:rsidR="00AE22D2" w:rsidRPr="000D0A59">
        <w:t>vartojamas sąvokas.</w:t>
      </w:r>
    </w:p>
    <w:p w14:paraId="35064280" w14:textId="77777777" w:rsidR="00AE22D2" w:rsidRPr="000D0A59" w:rsidRDefault="00AE22D2" w:rsidP="00F5174F">
      <w:pPr>
        <w:ind w:firstLine="720"/>
        <w:jc w:val="both"/>
      </w:pPr>
      <w:r w:rsidRPr="000D0A59">
        <w:t>6.</w:t>
      </w:r>
      <w:r w:rsidR="00E13BDF" w:rsidRPr="000D0A59">
        <w:t xml:space="preserve"> </w:t>
      </w:r>
      <w:r w:rsidRPr="000D0A59">
        <w:t>Švietimo informacinių technologijų centrui švietimo</w:t>
      </w:r>
      <w:r w:rsidR="003F17DD" w:rsidRPr="000D0A59">
        <w:t>,</w:t>
      </w:r>
      <w:r w:rsidRPr="000D0A59">
        <w:t xml:space="preserve"> mokslo </w:t>
      </w:r>
      <w:r w:rsidR="003F17DD" w:rsidRPr="000D0A59">
        <w:t xml:space="preserve">ir sporto </w:t>
      </w:r>
      <w:r w:rsidRPr="000D0A59">
        <w:t>ministro nustatyta tvarka informaciją, kurios reikia mokymo lėšų sumai apskaičiuoti ateinantiems metams</w:t>
      </w:r>
      <w:r w:rsidR="00E13BDF" w:rsidRPr="000D0A59">
        <w:t>,</w:t>
      </w:r>
      <w:r w:rsidRPr="000D0A59">
        <w:t xml:space="preserve"> pagal einamųjų metų rugsėjo 1 dienos duomenis</w:t>
      </w:r>
      <w:r w:rsidR="00E13BDF" w:rsidRPr="000D0A59">
        <w:t xml:space="preserve"> </w:t>
      </w:r>
      <w:r w:rsidRPr="000D0A59">
        <w:t>teikia Kazlų Rūdos savivaldybės mokyklos ir savivaldybėje esančios nevalstybinės mokyklos, teikiančios ikimokyklinį, priešmokyklinį, bendrąjį ugdymą. Už teikiamos informacijos teisingumą atsako mokyklų vadovai.</w:t>
      </w:r>
    </w:p>
    <w:p w14:paraId="4C3203E9" w14:textId="77777777" w:rsidR="00AE22D2" w:rsidRPr="000D0A59" w:rsidRDefault="00AE22D2" w:rsidP="00F5174F">
      <w:pPr>
        <w:ind w:firstLine="720"/>
        <w:jc w:val="both"/>
      </w:pPr>
      <w:r w:rsidRPr="000D0A59">
        <w:t>7.</w:t>
      </w:r>
      <w:r w:rsidR="00E13BDF" w:rsidRPr="000D0A59">
        <w:t xml:space="preserve"> </w:t>
      </w:r>
      <w:r w:rsidRPr="000D0A59">
        <w:t>Savivaldybei skiriama mokymo lėšų speciali</w:t>
      </w:r>
      <w:r w:rsidR="003F17DD" w:rsidRPr="000D0A59">
        <w:t>oji</w:t>
      </w:r>
      <w:r w:rsidRPr="000D0A59">
        <w:t xml:space="preserve"> tikslinė dotacija paskirstoma asignavimų valdytojams Kazlų Rūdos</w:t>
      </w:r>
      <w:r w:rsidR="003F17DD" w:rsidRPr="000D0A59">
        <w:t xml:space="preserve"> savivaldybės tarybos sprendimu</w:t>
      </w:r>
      <w:r w:rsidRPr="000D0A59">
        <w:t xml:space="preserve"> tvirtinant atitinkamų metų savivaldybės biudžetą.</w:t>
      </w:r>
    </w:p>
    <w:p w14:paraId="35CCF290" w14:textId="77777777" w:rsidR="00AE22D2" w:rsidRPr="000D0A59" w:rsidRDefault="00AE22D2" w:rsidP="00F5174F">
      <w:pPr>
        <w:jc w:val="both"/>
        <w:rPr>
          <w:b/>
        </w:rPr>
      </w:pPr>
    </w:p>
    <w:p w14:paraId="12824DE4" w14:textId="77777777" w:rsidR="00AE22D2" w:rsidRPr="000D0A59" w:rsidRDefault="00AE22D2" w:rsidP="00F5174F">
      <w:pPr>
        <w:jc w:val="center"/>
        <w:rPr>
          <w:b/>
        </w:rPr>
      </w:pPr>
      <w:r w:rsidRPr="000D0A59">
        <w:rPr>
          <w:b/>
        </w:rPr>
        <w:t xml:space="preserve">II SKYRIUS </w:t>
      </w:r>
    </w:p>
    <w:p w14:paraId="2BF2D38F" w14:textId="77777777" w:rsidR="00AE22D2" w:rsidRPr="000D0A59" w:rsidRDefault="00AE22D2" w:rsidP="00F5174F">
      <w:pPr>
        <w:jc w:val="center"/>
        <w:rPr>
          <w:b/>
        </w:rPr>
      </w:pPr>
      <w:r w:rsidRPr="000D0A59">
        <w:rPr>
          <w:b/>
        </w:rPr>
        <w:t>LĖŠŲ UGDYMO PLANUI ĮGYVENDINTI APSKAIČIAVIMAS IR NAUDOJIMAS</w:t>
      </w:r>
    </w:p>
    <w:p w14:paraId="1DAAE37A" w14:textId="77777777" w:rsidR="00AE22D2" w:rsidRPr="000D0A59" w:rsidRDefault="00AE22D2" w:rsidP="00F5174F">
      <w:pPr>
        <w:jc w:val="both"/>
      </w:pPr>
    </w:p>
    <w:p w14:paraId="3FE58095" w14:textId="77777777" w:rsidR="00AE22D2" w:rsidRPr="000D0A59" w:rsidRDefault="00AE22D2" w:rsidP="00F5174F">
      <w:pPr>
        <w:suppressAutoHyphens/>
        <w:ind w:firstLine="720"/>
        <w:jc w:val="both"/>
        <w:rPr>
          <w:rFonts w:eastAsia="Batang"/>
          <w:lang w:eastAsia="ar-SA"/>
        </w:rPr>
      </w:pPr>
      <w:r w:rsidRPr="000D0A59">
        <w:rPr>
          <w:rFonts w:eastAsia="Batang"/>
          <w:lang w:eastAsia="ar-SA"/>
        </w:rPr>
        <w:t>8.</w:t>
      </w:r>
      <w:r w:rsidR="003F17DD" w:rsidRPr="000D0A59">
        <w:rPr>
          <w:rFonts w:eastAsia="Batang"/>
          <w:lang w:eastAsia="ar-SA"/>
        </w:rPr>
        <w:t xml:space="preserve"> </w:t>
      </w:r>
      <w:r w:rsidRPr="000D0A59">
        <w:rPr>
          <w:rFonts w:eastAsia="Batang"/>
          <w:lang w:eastAsia="ar-SA"/>
        </w:rPr>
        <w:t>Lėšos ugdymo planui įgyvendinti skiriamos pagal lėšų skyrimo klasei (grupei) principą. Šios lėšos apskaičiuojamos, bazines ugdymo lėšas padauginus iš sąlyginių klasių (grupių) skaičiaus, nustatyto pagal formulę, atsižvelgiant į faktinį mokinių skaičių mokinių sraute</w:t>
      </w:r>
      <w:r w:rsidR="003F17DD" w:rsidRPr="000D0A59">
        <w:rPr>
          <w:rFonts w:eastAsia="Batang"/>
          <w:lang w:eastAsia="ar-SA"/>
        </w:rPr>
        <w:t>, vadovaujantis Aprašo 2–</w:t>
      </w:r>
      <w:r w:rsidRPr="000D0A59">
        <w:rPr>
          <w:rFonts w:eastAsia="Batang"/>
          <w:lang w:eastAsia="ar-SA"/>
        </w:rPr>
        <w:t>5 priedais. Klasei priskiriamų bazinių ugdymo lėšų dydis priklauso nuo sąlyginės klasės (grupės) dydžio: mažai klasei skiriamos mažiausio dydžio bazinės ugdymo lėšos, vidutinio dydžio klasei – vidutinės, didelei – didelės. Jei sraute bus mažiau mokinių nei Apraše nustatytas minimalus skaičius, finansavimas bus skiriamas tik daliai klasės (0,33 arba 0,5 pagal Aprašo 4 priedą).</w:t>
      </w:r>
    </w:p>
    <w:p w14:paraId="6282B5FC" w14:textId="77777777" w:rsidR="00AE22D2" w:rsidRPr="000D0A59" w:rsidRDefault="00AE22D2" w:rsidP="00F5174F">
      <w:pPr>
        <w:suppressAutoHyphens/>
        <w:ind w:firstLine="720"/>
        <w:jc w:val="both"/>
        <w:rPr>
          <w:rFonts w:eastAsia="Batang"/>
          <w:lang w:eastAsia="ar-SA"/>
        </w:rPr>
      </w:pPr>
      <w:r w:rsidRPr="000D0A59">
        <w:rPr>
          <w:rFonts w:eastAsia="Batang"/>
          <w:lang w:eastAsia="ar-SA"/>
        </w:rPr>
        <w:t>9.</w:t>
      </w:r>
      <w:r w:rsidR="003F17DD" w:rsidRPr="000D0A59">
        <w:rPr>
          <w:rFonts w:eastAsia="Batang"/>
          <w:lang w:eastAsia="ar-SA"/>
        </w:rPr>
        <w:t xml:space="preserve"> </w:t>
      </w:r>
      <w:r w:rsidRPr="000D0A59">
        <w:rPr>
          <w:rFonts w:eastAsia="Batang"/>
          <w:lang w:eastAsia="ar-SA"/>
        </w:rPr>
        <w:t xml:space="preserve">Skaičiuojant ugdymo plano įgyvendinimui skirtas lėšas ateinantiems biudžetiniams metams, mokinių skaičius fiksuojamas pagal mokyklų Mokinių registro einamųjų metų rugsėjo 1 d. duomenis. </w:t>
      </w:r>
    </w:p>
    <w:p w14:paraId="4B8C66ED" w14:textId="77777777" w:rsidR="00AE22D2" w:rsidRPr="000D0A59" w:rsidRDefault="00AE22D2" w:rsidP="00F5174F">
      <w:pPr>
        <w:suppressAutoHyphens/>
        <w:ind w:firstLine="720"/>
        <w:jc w:val="both"/>
        <w:rPr>
          <w:lang w:eastAsia="lt-LT"/>
        </w:rPr>
      </w:pPr>
      <w:r w:rsidRPr="000D0A59">
        <w:rPr>
          <w:lang w:eastAsia="lt-LT"/>
        </w:rPr>
        <w:lastRenderedPageBreak/>
        <w:t>10.</w:t>
      </w:r>
      <w:r w:rsidR="003F17DD" w:rsidRPr="000D0A59">
        <w:rPr>
          <w:lang w:eastAsia="lt-LT"/>
        </w:rPr>
        <w:t xml:space="preserve"> </w:t>
      </w:r>
      <w:r w:rsidRPr="000D0A59">
        <w:rPr>
          <w:lang w:eastAsia="lt-LT"/>
        </w:rPr>
        <w:t>Lėšos ugdymo planui įgyvendinti naudojamos darbo užmokesčiui ir kitoms su darbo santykiais susijusioms išmokoms ir kompensacijoms pagal ugdymo planą mokėti, taip pat sumokėti už ikimokyklinį ir priešmokyklinį ugdymą, finansuojamą iš mokymo lėšų.</w:t>
      </w:r>
    </w:p>
    <w:p w14:paraId="64557EE4" w14:textId="77777777" w:rsidR="00AE22D2" w:rsidRPr="000D0A59" w:rsidRDefault="00AE22D2" w:rsidP="00F5174F">
      <w:pPr>
        <w:suppressAutoHyphens/>
        <w:ind w:firstLine="720"/>
        <w:jc w:val="both"/>
        <w:rPr>
          <w:lang w:eastAsia="lt-LT"/>
        </w:rPr>
      </w:pPr>
      <w:r w:rsidRPr="000D0A59">
        <w:rPr>
          <w:lang w:eastAsia="lt-LT"/>
        </w:rPr>
        <w:t>11.</w:t>
      </w:r>
      <w:r w:rsidR="003F17DD" w:rsidRPr="000D0A59">
        <w:rPr>
          <w:lang w:eastAsia="lt-LT"/>
        </w:rPr>
        <w:t xml:space="preserve"> </w:t>
      </w:r>
      <w:r w:rsidRPr="000D0A59">
        <w:rPr>
          <w:lang w:eastAsia="lt-LT"/>
        </w:rPr>
        <w:t>Nepanaudojus lėšų ugdymo planui įgyvendinti, jos pagal poreikį gali būti naudojamos kitoms mokymo lėšų išlaidoms.</w:t>
      </w:r>
    </w:p>
    <w:p w14:paraId="3EF1E724" w14:textId="77777777" w:rsidR="00AE22D2" w:rsidRPr="000D0A59" w:rsidRDefault="00AE22D2" w:rsidP="00F5174F">
      <w:pPr>
        <w:suppressAutoHyphens/>
        <w:ind w:firstLine="720"/>
        <w:jc w:val="both"/>
        <w:rPr>
          <w:lang w:eastAsia="lt-LT"/>
        </w:rPr>
      </w:pPr>
    </w:p>
    <w:p w14:paraId="613D22A6" w14:textId="77777777" w:rsidR="00AE22D2" w:rsidRPr="000D0A59" w:rsidRDefault="00AE22D2" w:rsidP="00F5174F">
      <w:pPr>
        <w:tabs>
          <w:tab w:val="left" w:pos="1134"/>
        </w:tabs>
        <w:suppressAutoHyphens/>
        <w:ind w:left="1080" w:hanging="1080"/>
        <w:jc w:val="center"/>
        <w:rPr>
          <w:rFonts w:eastAsia="Batang"/>
          <w:b/>
          <w:lang w:eastAsia="ar-SA"/>
        </w:rPr>
      </w:pPr>
      <w:r w:rsidRPr="000D0A59">
        <w:rPr>
          <w:rFonts w:eastAsia="Batang"/>
          <w:b/>
          <w:lang w:eastAsia="ar-SA"/>
        </w:rPr>
        <w:t>III SKYRIUS</w:t>
      </w:r>
    </w:p>
    <w:p w14:paraId="01671A97" w14:textId="77777777" w:rsidR="00AE22D2" w:rsidRPr="000D0A59" w:rsidRDefault="00AE22D2" w:rsidP="00F5174F">
      <w:pPr>
        <w:suppressAutoHyphens/>
        <w:jc w:val="center"/>
        <w:rPr>
          <w:rFonts w:eastAsia="Batang"/>
          <w:b/>
          <w:lang w:eastAsia="ar-SA"/>
        </w:rPr>
      </w:pPr>
      <w:r w:rsidRPr="000D0A59">
        <w:rPr>
          <w:rFonts w:eastAsia="Batang"/>
          <w:b/>
          <w:lang w:eastAsia="ar-SA"/>
        </w:rPr>
        <w:t xml:space="preserve">LĖŠŲ KITOMS UGDYMO REIKMĖMS </w:t>
      </w:r>
      <w:r w:rsidR="00E13BDF" w:rsidRPr="000D0A59">
        <w:rPr>
          <w:rFonts w:eastAsia="Batang"/>
          <w:b/>
          <w:lang w:eastAsia="ar-SA"/>
        </w:rPr>
        <w:t xml:space="preserve">APSKAIČIAVIMAS, PASKIRSTYMAS IR </w:t>
      </w:r>
      <w:r w:rsidRPr="000D0A59">
        <w:rPr>
          <w:rFonts w:eastAsia="Batang"/>
          <w:b/>
          <w:lang w:eastAsia="ar-SA"/>
        </w:rPr>
        <w:t>NAUDOJIMAS</w:t>
      </w:r>
    </w:p>
    <w:p w14:paraId="6B73D5FD" w14:textId="77777777" w:rsidR="00AE22D2" w:rsidRPr="000D0A59" w:rsidRDefault="00AE22D2" w:rsidP="00F5174F">
      <w:pPr>
        <w:suppressAutoHyphens/>
        <w:ind w:firstLine="720"/>
        <w:jc w:val="both"/>
        <w:rPr>
          <w:rFonts w:eastAsia="Batang"/>
          <w:lang w:eastAsia="ar-SA"/>
        </w:rPr>
      </w:pPr>
    </w:p>
    <w:p w14:paraId="55E54186" w14:textId="77777777" w:rsidR="00AE22D2" w:rsidRPr="000D0A59" w:rsidRDefault="00AE22D2" w:rsidP="00F5174F">
      <w:pPr>
        <w:suppressAutoHyphens/>
        <w:ind w:firstLine="720"/>
        <w:jc w:val="both"/>
        <w:rPr>
          <w:rFonts w:eastAsia="Batang"/>
          <w:lang w:eastAsia="ar-SA"/>
        </w:rPr>
      </w:pPr>
      <w:r w:rsidRPr="000D0A59">
        <w:rPr>
          <w:rFonts w:eastAsia="Batang"/>
          <w:lang w:eastAsia="ar-SA"/>
        </w:rPr>
        <w:t>12.</w:t>
      </w:r>
      <w:r w:rsidR="003F17DD" w:rsidRPr="000D0A59">
        <w:rPr>
          <w:rFonts w:eastAsia="Batang"/>
          <w:lang w:eastAsia="ar-SA"/>
        </w:rPr>
        <w:t xml:space="preserve"> </w:t>
      </w:r>
      <w:r w:rsidRPr="000D0A59">
        <w:rPr>
          <w:rFonts w:eastAsia="Batang"/>
          <w:lang w:eastAsia="ar-SA"/>
        </w:rPr>
        <w:t>Lėšos kitoms ugdymo reikmėms apskaičiuojamos padauginus Aprašo 1 priede nurodytus koeficientus iš pareiginės algos bazinio dydžio (BD) ir iš faktinių mokinių skaičiaus.</w:t>
      </w:r>
    </w:p>
    <w:p w14:paraId="570F8560" w14:textId="77777777" w:rsidR="00AE22D2" w:rsidRPr="000D0A59" w:rsidRDefault="00AE22D2" w:rsidP="00F5174F">
      <w:pPr>
        <w:ind w:firstLine="720"/>
        <w:jc w:val="both"/>
        <w:rPr>
          <w:lang w:eastAsia="lt-LT"/>
        </w:rPr>
      </w:pPr>
      <w:r w:rsidRPr="000D0A59">
        <w:rPr>
          <w:lang w:eastAsia="lt-LT"/>
        </w:rPr>
        <w:t>13.</w:t>
      </w:r>
      <w:r w:rsidR="003F17DD" w:rsidRPr="000D0A59">
        <w:rPr>
          <w:lang w:eastAsia="lt-LT"/>
        </w:rPr>
        <w:t xml:space="preserve"> </w:t>
      </w:r>
      <w:r w:rsidRPr="000D0A59">
        <w:rPr>
          <w:b/>
          <w:lang w:eastAsia="lt-LT"/>
        </w:rPr>
        <w:t>Savivaldybei skiriamos</w:t>
      </w:r>
      <w:r w:rsidRPr="000D0A59">
        <w:rPr>
          <w:lang w:eastAsia="lt-LT"/>
        </w:rPr>
        <w:t xml:space="preserve"> lėšos paskirstomos šioms ugdymo reikmėms tenkinti:</w:t>
      </w:r>
    </w:p>
    <w:p w14:paraId="097C8999" w14:textId="77777777" w:rsidR="00AE22D2" w:rsidRPr="000D0A59" w:rsidRDefault="00AE22D2" w:rsidP="00F5174F">
      <w:pPr>
        <w:ind w:firstLine="720"/>
        <w:jc w:val="both"/>
        <w:rPr>
          <w:lang w:eastAsia="lt-LT"/>
        </w:rPr>
      </w:pPr>
      <w:r w:rsidRPr="000D0A59">
        <w:rPr>
          <w:lang w:eastAsia="lt-LT"/>
        </w:rPr>
        <w:t xml:space="preserve">13.1. ugdymo procesui organizuoti ir valdyti. Lėšos gali būti naudojamos: </w:t>
      </w:r>
    </w:p>
    <w:p w14:paraId="09B75E45" w14:textId="77777777" w:rsidR="00AE22D2" w:rsidRPr="000D0A59" w:rsidRDefault="00AE22D2" w:rsidP="00F5174F">
      <w:pPr>
        <w:ind w:firstLine="720"/>
        <w:jc w:val="both"/>
        <w:rPr>
          <w:lang w:eastAsia="lt-LT"/>
        </w:rPr>
      </w:pPr>
      <w:r w:rsidRPr="000D0A59">
        <w:rPr>
          <w:lang w:eastAsia="lt-LT"/>
        </w:rPr>
        <w:t>13.1.1.</w:t>
      </w:r>
      <w:r w:rsidR="003F17DD" w:rsidRPr="000D0A59">
        <w:rPr>
          <w:lang w:eastAsia="lt-LT"/>
        </w:rPr>
        <w:t xml:space="preserve"> </w:t>
      </w:r>
      <w:r w:rsidRPr="000D0A59">
        <w:rPr>
          <w:lang w:eastAsia="lt-LT"/>
        </w:rPr>
        <w:t>mokyklos direktoriaus, direktoriaus pavaduotojo ugdymui, ugdymą organizuojančio skyriaus vedėjo darbo užmokesčiui (įskaitant p</w:t>
      </w:r>
      <w:r w:rsidR="00E6099D" w:rsidRPr="000D0A59">
        <w:rPr>
          <w:lang w:eastAsia="lt-LT"/>
        </w:rPr>
        <w:t>areiginės algos kintamąją dalį),</w:t>
      </w:r>
    </w:p>
    <w:p w14:paraId="5AA82C92" w14:textId="77777777" w:rsidR="00AE22D2" w:rsidRPr="000D0A59" w:rsidRDefault="00AE22D2" w:rsidP="00F5174F">
      <w:pPr>
        <w:ind w:firstLine="720"/>
        <w:jc w:val="both"/>
        <w:rPr>
          <w:lang w:eastAsia="lt-LT"/>
        </w:rPr>
      </w:pPr>
      <w:r w:rsidRPr="000D0A59">
        <w:rPr>
          <w:lang w:eastAsia="lt-LT"/>
        </w:rPr>
        <w:t>13.1.2.</w:t>
      </w:r>
      <w:r w:rsidR="003F17DD" w:rsidRPr="000D0A59">
        <w:rPr>
          <w:lang w:eastAsia="lt-LT"/>
        </w:rPr>
        <w:t xml:space="preserve"> </w:t>
      </w:r>
      <w:r w:rsidRPr="000D0A59">
        <w:rPr>
          <w:lang w:eastAsia="lt-LT"/>
        </w:rPr>
        <w:t>neformaliojo švietimo or</w:t>
      </w:r>
      <w:r w:rsidR="00E6099D" w:rsidRPr="000D0A59">
        <w:rPr>
          <w:lang w:eastAsia="lt-LT"/>
        </w:rPr>
        <w:t>ganizatoriaus darbo užmokesčiui,</w:t>
      </w:r>
    </w:p>
    <w:p w14:paraId="00C2BD07" w14:textId="77777777" w:rsidR="00AE22D2" w:rsidRPr="000D0A59" w:rsidRDefault="00AE22D2" w:rsidP="00F5174F">
      <w:pPr>
        <w:ind w:firstLine="720"/>
        <w:jc w:val="both"/>
        <w:rPr>
          <w:lang w:eastAsia="lt-LT"/>
        </w:rPr>
      </w:pPr>
      <w:r w:rsidRPr="000D0A59">
        <w:rPr>
          <w:lang w:eastAsia="lt-LT"/>
        </w:rPr>
        <w:t>13.1.3.</w:t>
      </w:r>
      <w:r w:rsidR="003F17DD" w:rsidRPr="000D0A59">
        <w:rPr>
          <w:lang w:eastAsia="lt-LT"/>
        </w:rPr>
        <w:t xml:space="preserve"> </w:t>
      </w:r>
      <w:r w:rsidRPr="000D0A59">
        <w:rPr>
          <w:lang w:eastAsia="lt-LT"/>
        </w:rPr>
        <w:t>priemokoms, kai nustatyta apimtimi ugdymo proceso organizavimo ir valdymo f</w:t>
      </w:r>
      <w:r w:rsidR="00E6099D" w:rsidRPr="000D0A59">
        <w:rPr>
          <w:lang w:eastAsia="lt-LT"/>
        </w:rPr>
        <w:t>unkcijas vykdo kiti darbuotojai,</w:t>
      </w:r>
    </w:p>
    <w:p w14:paraId="49DA5CCE" w14:textId="77777777" w:rsidR="00AE22D2" w:rsidRPr="000D0A59" w:rsidRDefault="00AE22D2" w:rsidP="00F5174F">
      <w:pPr>
        <w:ind w:firstLine="720"/>
        <w:jc w:val="both"/>
        <w:rPr>
          <w:lang w:eastAsia="lt-LT"/>
        </w:rPr>
      </w:pPr>
      <w:r w:rsidRPr="000D0A59">
        <w:rPr>
          <w:lang w:eastAsia="lt-LT"/>
        </w:rPr>
        <w:t>13.1.4. daliai ugdymo proceso organizavimo ir valdymo d</w:t>
      </w:r>
      <w:r w:rsidR="003F17DD" w:rsidRPr="000D0A59">
        <w:rPr>
          <w:lang w:eastAsia="lt-LT"/>
        </w:rPr>
        <w:t>arbų atlikimo paslaugoms pirkti;</w:t>
      </w:r>
    </w:p>
    <w:p w14:paraId="59272B91" w14:textId="77777777" w:rsidR="00AE22D2" w:rsidRPr="000D0A59" w:rsidRDefault="00AE22D2" w:rsidP="00F5174F">
      <w:pPr>
        <w:ind w:firstLine="720"/>
        <w:jc w:val="both"/>
        <w:rPr>
          <w:kern w:val="24"/>
          <w:lang w:eastAsia="lt-LT"/>
        </w:rPr>
      </w:pPr>
      <w:r w:rsidRPr="000D0A59">
        <w:rPr>
          <w:lang w:eastAsia="lt-LT"/>
        </w:rPr>
        <w:t>13.2.</w:t>
      </w:r>
      <w:r w:rsidR="003F17DD" w:rsidRPr="000D0A59">
        <w:rPr>
          <w:lang w:eastAsia="lt-LT"/>
        </w:rPr>
        <w:t xml:space="preserve"> </w:t>
      </w:r>
      <w:r w:rsidRPr="000D0A59">
        <w:rPr>
          <w:kern w:val="24"/>
          <w:lang w:eastAsia="lt-LT"/>
        </w:rPr>
        <w:t>švietimo pagalbai mokyklose ir pedagoginę psichologinę pagalbą teikiančioms įstaigoms. Lėšos gali būti naudojamos:</w:t>
      </w:r>
    </w:p>
    <w:p w14:paraId="4EBF5216" w14:textId="77777777" w:rsidR="00AE22D2" w:rsidRPr="000D0A59" w:rsidRDefault="00AE22D2" w:rsidP="00F5174F">
      <w:pPr>
        <w:ind w:firstLine="720"/>
        <w:jc w:val="both"/>
        <w:rPr>
          <w:kern w:val="24"/>
          <w:lang w:eastAsia="lt-LT"/>
        </w:rPr>
      </w:pPr>
      <w:r w:rsidRPr="000D0A59">
        <w:rPr>
          <w:kern w:val="24"/>
          <w:lang w:eastAsia="lt-LT"/>
        </w:rPr>
        <w:t>13.2.1.</w:t>
      </w:r>
      <w:r w:rsidR="003F17DD" w:rsidRPr="000D0A59">
        <w:rPr>
          <w:kern w:val="24"/>
          <w:lang w:eastAsia="lt-LT"/>
        </w:rPr>
        <w:t xml:space="preserve"> </w:t>
      </w:r>
      <w:r w:rsidRPr="000D0A59">
        <w:rPr>
          <w:kern w:val="24"/>
          <w:lang w:eastAsia="lt-LT"/>
        </w:rPr>
        <w:t xml:space="preserve">socialinių pedagogų, psichologų, specialiųjų pedagogų, logopedų, </w:t>
      </w:r>
      <w:proofErr w:type="spellStart"/>
      <w:r w:rsidRPr="000D0A59">
        <w:rPr>
          <w:kern w:val="24"/>
          <w:lang w:eastAsia="lt-LT"/>
        </w:rPr>
        <w:t>tiflopedagogų</w:t>
      </w:r>
      <w:proofErr w:type="spellEnd"/>
      <w:r w:rsidRPr="000D0A59">
        <w:rPr>
          <w:kern w:val="24"/>
          <w:lang w:eastAsia="lt-LT"/>
        </w:rPr>
        <w:t xml:space="preserve">, surdopedagogų, mokytojų padėjėjų, gestų kalbos vertėjų pareigybių, įsteigtų mokyklose, darbo užmokesčiui ir </w:t>
      </w:r>
      <w:r w:rsidRPr="000D0A59">
        <w:rPr>
          <w:lang w:eastAsia="lt-LT"/>
        </w:rPr>
        <w:t>kitoms su darbo santykiais susijusioms išmokoms ir kompensaci</w:t>
      </w:r>
      <w:r w:rsidR="00E6099D" w:rsidRPr="000D0A59">
        <w:rPr>
          <w:lang w:eastAsia="lt-LT"/>
        </w:rPr>
        <w:t>jos mokėti,</w:t>
      </w:r>
    </w:p>
    <w:p w14:paraId="1CBCEBDD" w14:textId="77777777" w:rsidR="00AE22D2" w:rsidRPr="000D0A59" w:rsidRDefault="00AE22D2" w:rsidP="00F5174F">
      <w:pPr>
        <w:ind w:firstLine="720"/>
        <w:jc w:val="both"/>
        <w:rPr>
          <w:kern w:val="24"/>
          <w:lang w:eastAsia="lt-LT"/>
        </w:rPr>
      </w:pPr>
      <w:r w:rsidRPr="000D0A59">
        <w:rPr>
          <w:kern w:val="24"/>
          <w:lang w:eastAsia="lt-LT"/>
        </w:rPr>
        <w:t>13.2.2.</w:t>
      </w:r>
      <w:r w:rsidR="00E6099D" w:rsidRPr="000D0A59">
        <w:rPr>
          <w:kern w:val="24"/>
          <w:lang w:eastAsia="lt-LT"/>
        </w:rPr>
        <w:t xml:space="preserve"> </w:t>
      </w:r>
      <w:r w:rsidRPr="000D0A59">
        <w:rPr>
          <w:kern w:val="24"/>
          <w:lang w:eastAsia="lt-LT"/>
        </w:rPr>
        <w:t>švie</w:t>
      </w:r>
      <w:r w:rsidR="00E6099D" w:rsidRPr="000D0A59">
        <w:rPr>
          <w:kern w:val="24"/>
          <w:lang w:eastAsia="lt-LT"/>
        </w:rPr>
        <w:t>timo pagalbos paslaugoms pirkti,</w:t>
      </w:r>
    </w:p>
    <w:p w14:paraId="16B136E8" w14:textId="77777777" w:rsidR="00AE22D2" w:rsidRPr="000D0A59" w:rsidRDefault="00AE22D2" w:rsidP="00F5174F">
      <w:pPr>
        <w:ind w:firstLine="720"/>
        <w:jc w:val="both"/>
        <w:rPr>
          <w:kern w:val="24"/>
          <w:lang w:eastAsia="lt-LT"/>
        </w:rPr>
      </w:pPr>
      <w:r w:rsidRPr="000D0A59">
        <w:rPr>
          <w:kern w:val="24"/>
          <w:lang w:eastAsia="lt-LT"/>
        </w:rPr>
        <w:t>13.2.3.</w:t>
      </w:r>
      <w:r w:rsidR="00E6099D" w:rsidRPr="000D0A59">
        <w:rPr>
          <w:kern w:val="24"/>
          <w:lang w:eastAsia="lt-LT"/>
        </w:rPr>
        <w:t xml:space="preserve"> </w:t>
      </w:r>
      <w:r w:rsidRPr="000D0A59">
        <w:rPr>
          <w:kern w:val="24"/>
          <w:lang w:eastAsia="lt-LT"/>
        </w:rPr>
        <w:t>pedagoginės psichologinės tarnybos vykdomo mokinių specialiųjų ugdymosi poreikių įvertinimo, pedagoginės psichologinės pagalbos teikimo mokiniui, mokytojui, mokyklai, šeimai funkcijoms finansuo</w:t>
      </w:r>
      <w:r w:rsidR="00E6099D" w:rsidRPr="000D0A59">
        <w:rPr>
          <w:kern w:val="24"/>
          <w:lang w:eastAsia="lt-LT"/>
        </w:rPr>
        <w:t>ti,</w:t>
      </w:r>
    </w:p>
    <w:p w14:paraId="27942FE9" w14:textId="77777777" w:rsidR="00AE22D2" w:rsidRPr="000D0A59" w:rsidRDefault="00AE22D2" w:rsidP="00F5174F">
      <w:pPr>
        <w:ind w:firstLine="720"/>
        <w:jc w:val="both"/>
        <w:rPr>
          <w:kern w:val="24"/>
          <w:lang w:eastAsia="lt-LT"/>
        </w:rPr>
      </w:pPr>
      <w:r w:rsidRPr="000D0A59">
        <w:rPr>
          <w:kern w:val="24"/>
          <w:lang w:eastAsia="lt-LT"/>
        </w:rPr>
        <w:t>13.2.4.</w:t>
      </w:r>
      <w:r w:rsidR="00E6099D" w:rsidRPr="000D0A59">
        <w:rPr>
          <w:kern w:val="24"/>
          <w:lang w:eastAsia="lt-LT"/>
        </w:rPr>
        <w:t xml:space="preserve"> </w:t>
      </w:r>
      <w:r w:rsidRPr="000D0A59">
        <w:rPr>
          <w:kern w:val="24"/>
          <w:lang w:eastAsia="lt-LT"/>
        </w:rPr>
        <w:t>paslaugoms, susijusioms su pedagoginės psichologinės tar</w:t>
      </w:r>
      <w:r w:rsidR="00E6099D" w:rsidRPr="000D0A59">
        <w:rPr>
          <w:kern w:val="24"/>
          <w:lang w:eastAsia="lt-LT"/>
        </w:rPr>
        <w:t>nybos funkcijų atlikimu, pirkti,</w:t>
      </w:r>
    </w:p>
    <w:p w14:paraId="7AFEB803" w14:textId="77777777" w:rsidR="00AE22D2" w:rsidRPr="000D0A59" w:rsidRDefault="00AE22D2" w:rsidP="00F5174F">
      <w:pPr>
        <w:ind w:firstLine="720"/>
        <w:jc w:val="both"/>
        <w:rPr>
          <w:lang w:eastAsia="lt-LT"/>
        </w:rPr>
      </w:pPr>
      <w:r w:rsidRPr="000D0A59">
        <w:rPr>
          <w:kern w:val="24"/>
          <w:lang w:eastAsia="lt-LT"/>
        </w:rPr>
        <w:t>13.2.5.</w:t>
      </w:r>
      <w:r w:rsidR="00E6099D" w:rsidRPr="000D0A59">
        <w:rPr>
          <w:kern w:val="24"/>
          <w:lang w:eastAsia="lt-LT"/>
        </w:rPr>
        <w:t xml:space="preserve"> </w:t>
      </w:r>
      <w:r w:rsidRPr="000D0A59">
        <w:rPr>
          <w:kern w:val="24"/>
          <w:lang w:eastAsia="lt-LT"/>
        </w:rPr>
        <w:t xml:space="preserve">mokyklos bibliotekos darbuotojų darbo užmokesčiui ir </w:t>
      </w:r>
      <w:r w:rsidRPr="000D0A59">
        <w:rPr>
          <w:lang w:eastAsia="lt-LT"/>
        </w:rPr>
        <w:t>kitoms su darbo santykiais susijusioms išmokoms ir kompensacijos mokėt</w:t>
      </w:r>
      <w:r w:rsidR="00E6099D" w:rsidRPr="000D0A59">
        <w:rPr>
          <w:kern w:val="24"/>
          <w:lang w:eastAsia="lt-LT"/>
        </w:rPr>
        <w:t>i;</w:t>
      </w:r>
      <w:r w:rsidRPr="000D0A59">
        <w:rPr>
          <w:kern w:val="24"/>
          <w:lang w:eastAsia="lt-LT"/>
        </w:rPr>
        <w:t xml:space="preserve"> </w:t>
      </w:r>
    </w:p>
    <w:p w14:paraId="18E6380A" w14:textId="77777777" w:rsidR="00AE22D2" w:rsidRPr="000D0A59" w:rsidRDefault="00AE22D2" w:rsidP="00F5174F">
      <w:pPr>
        <w:ind w:firstLine="720"/>
        <w:jc w:val="both"/>
        <w:rPr>
          <w:lang w:eastAsia="lt-LT"/>
        </w:rPr>
      </w:pPr>
      <w:r w:rsidRPr="000D0A59">
        <w:rPr>
          <w:lang w:eastAsia="lt-LT"/>
        </w:rPr>
        <w:t>13.3.</w:t>
      </w:r>
      <w:r w:rsidR="00E6099D" w:rsidRPr="000D0A59">
        <w:rPr>
          <w:lang w:eastAsia="lt-LT"/>
        </w:rPr>
        <w:t xml:space="preserve"> </w:t>
      </w:r>
      <w:r w:rsidRPr="000D0A59">
        <w:rPr>
          <w:lang w:eastAsia="lt-LT"/>
        </w:rPr>
        <w:t>mokymosi pasiekimų patikrinimams organizuoti ir vykdyti;</w:t>
      </w:r>
    </w:p>
    <w:p w14:paraId="53008F4E" w14:textId="77777777" w:rsidR="00AE22D2" w:rsidRPr="000D0A59" w:rsidRDefault="00AE22D2" w:rsidP="00F5174F">
      <w:pPr>
        <w:ind w:firstLine="720"/>
        <w:jc w:val="both"/>
        <w:rPr>
          <w:lang w:eastAsia="lt-LT"/>
        </w:rPr>
      </w:pPr>
      <w:r w:rsidRPr="000D0A59">
        <w:rPr>
          <w:lang w:eastAsia="lt-LT"/>
        </w:rPr>
        <w:t>13.4.</w:t>
      </w:r>
      <w:r w:rsidR="00E6099D" w:rsidRPr="000D0A59">
        <w:rPr>
          <w:lang w:eastAsia="lt-LT"/>
        </w:rPr>
        <w:t xml:space="preserve"> </w:t>
      </w:r>
      <w:r w:rsidRPr="000D0A59">
        <w:rPr>
          <w:szCs w:val="22"/>
          <w:lang w:eastAsia="lt-LT"/>
        </w:rPr>
        <w:t>formalųjį švietimą papildančio ugdymo</w:t>
      </w:r>
      <w:r w:rsidRPr="000D0A59">
        <w:rPr>
          <w:lang w:eastAsia="lt-LT"/>
        </w:rPr>
        <w:t xml:space="preserve"> programoms finansuoti </w:t>
      </w:r>
      <w:r w:rsidRPr="000D0A59">
        <w:rPr>
          <w:bCs/>
          <w:lang w:eastAsia="lt-LT"/>
        </w:rPr>
        <w:t>(įskaitant apmokėjimą už darbą mokytojams, dirbantiems pagal šias programas)</w:t>
      </w:r>
      <w:r w:rsidRPr="000D0A59">
        <w:rPr>
          <w:lang w:eastAsia="lt-LT"/>
        </w:rPr>
        <w:t>;</w:t>
      </w:r>
    </w:p>
    <w:p w14:paraId="57867B9A" w14:textId="77777777" w:rsidR="00AE22D2" w:rsidRPr="000D0A59" w:rsidRDefault="00AE22D2" w:rsidP="00F5174F">
      <w:pPr>
        <w:ind w:firstLine="720"/>
        <w:jc w:val="both"/>
        <w:rPr>
          <w:lang w:eastAsia="lt-LT"/>
        </w:rPr>
      </w:pPr>
      <w:r w:rsidRPr="000D0A59">
        <w:rPr>
          <w:lang w:eastAsia="lt-LT"/>
        </w:rPr>
        <w:t>13.5.</w:t>
      </w:r>
      <w:r w:rsidR="00E6099D" w:rsidRPr="000D0A59">
        <w:rPr>
          <w:lang w:eastAsia="lt-LT"/>
        </w:rPr>
        <w:t xml:space="preserve"> s</w:t>
      </w:r>
      <w:r w:rsidRPr="000D0A59">
        <w:rPr>
          <w:lang w:eastAsia="lt-LT"/>
        </w:rPr>
        <w:t>kaitmeninio ugdymo plėtrai: švietimo, mokslo ir sporto ministro nustatytus reikalavimus atitinkantiems skaitmeniniams mokymo(</w:t>
      </w:r>
      <w:proofErr w:type="spellStart"/>
      <w:r w:rsidRPr="000D0A59">
        <w:rPr>
          <w:lang w:eastAsia="lt-LT"/>
        </w:rPr>
        <w:t>si</w:t>
      </w:r>
      <w:proofErr w:type="spellEnd"/>
      <w:r w:rsidRPr="000D0A59">
        <w:rPr>
          <w:lang w:eastAsia="lt-LT"/>
        </w:rPr>
        <w:t>) ištekliams, priemonėms i</w:t>
      </w:r>
      <w:r w:rsidR="00E6099D" w:rsidRPr="000D0A59">
        <w:rPr>
          <w:lang w:eastAsia="lt-LT"/>
        </w:rPr>
        <w:t xml:space="preserve">r informacinių ir komunikacinių </w:t>
      </w:r>
      <w:r w:rsidRPr="000D0A59">
        <w:rPr>
          <w:lang w:eastAsia="lt-LT"/>
        </w:rPr>
        <w:t>technologijų įrangai įsigyti, taip pat mokytojų skaitmeninio raštingumo kompetencijai tobulinti pagal skaitmeninio raštingumo programas, atitinkančias švietimo, mokslo ir sporto ministro nustatytus reikalavimus.</w:t>
      </w:r>
    </w:p>
    <w:p w14:paraId="5D409BBC" w14:textId="77777777" w:rsidR="00AE22D2" w:rsidRPr="000D0A59" w:rsidRDefault="001608DE" w:rsidP="00F5174F">
      <w:pPr>
        <w:ind w:firstLine="720"/>
        <w:jc w:val="both"/>
        <w:rPr>
          <w:lang w:eastAsia="lt-LT"/>
        </w:rPr>
      </w:pPr>
      <w:r w:rsidRPr="000D0A59">
        <w:rPr>
          <w:lang w:eastAsia="lt-LT"/>
        </w:rPr>
        <w:t>14. Tvarkos</w:t>
      </w:r>
      <w:r w:rsidR="00E6099D" w:rsidRPr="000D0A59">
        <w:rPr>
          <w:lang w:eastAsia="lt-LT"/>
        </w:rPr>
        <w:t xml:space="preserve"> 13.2</w:t>
      </w:r>
      <w:r w:rsidR="00AE22D2" w:rsidRPr="000D0A59">
        <w:rPr>
          <w:lang w:eastAsia="lt-LT"/>
        </w:rPr>
        <w:t xml:space="preserve"> papunktyje nurodytoms ugdymo reikmėms tenkinti paskirstoma ne mažiau kaip 100 procentų lėšų, apskaičiuotų pagal Aprašo 1 pried</w:t>
      </w:r>
      <w:r w:rsidRPr="000D0A59">
        <w:rPr>
          <w:lang w:eastAsia="lt-LT"/>
        </w:rPr>
        <w:t>e nurodytus koeficientus. Tvarkos</w:t>
      </w:r>
      <w:r w:rsidR="00AE22D2" w:rsidRPr="000D0A59">
        <w:rPr>
          <w:lang w:eastAsia="lt-LT"/>
        </w:rPr>
        <w:t xml:space="preserve"> 13.4</w:t>
      </w:r>
      <w:r w:rsidR="00E6099D" w:rsidRPr="000D0A59">
        <w:rPr>
          <w:lang w:eastAsia="lt-LT"/>
        </w:rPr>
        <w:t xml:space="preserve"> </w:t>
      </w:r>
      <w:r w:rsidR="00AE22D2" w:rsidRPr="000D0A59">
        <w:rPr>
          <w:lang w:eastAsia="lt-LT"/>
        </w:rPr>
        <w:t>papunktyje nurodytos lėšos, apskaičiuotos pagal mokinių, besimokančių pagal bendrojo ugdymo programas</w:t>
      </w:r>
      <w:r w:rsidR="00E6099D" w:rsidRPr="000D0A59">
        <w:rPr>
          <w:lang w:eastAsia="lt-LT"/>
        </w:rPr>
        <w:t>,</w:t>
      </w:r>
      <w:r w:rsidR="00AE22D2" w:rsidRPr="000D0A59">
        <w:rPr>
          <w:lang w:eastAsia="lt-LT"/>
        </w:rPr>
        <w:t xml:space="preserve"> skaičių, paskirstomos atsižvelgiant į šių mokinių, besimokančių pagal formalųjį švietimą papildančio ugdymo programas, skai</w:t>
      </w:r>
      <w:r w:rsidR="004B3025" w:rsidRPr="000D0A59">
        <w:rPr>
          <w:lang w:eastAsia="lt-LT"/>
        </w:rPr>
        <w:t xml:space="preserve">čių, nurodytą Mokinių registre. </w:t>
      </w:r>
      <w:r w:rsidRPr="000D0A59">
        <w:rPr>
          <w:lang w:eastAsia="lt-LT"/>
        </w:rPr>
        <w:t>Tvarkos</w:t>
      </w:r>
      <w:r w:rsidR="00AE22D2" w:rsidRPr="000D0A59">
        <w:rPr>
          <w:lang w:eastAsia="lt-LT"/>
        </w:rPr>
        <w:t xml:space="preserve"> 13.1 ir 13.3 papunkčiuose nurodytoms ugdymo reikmėms tenkinti lėšos skiriamos pagal poreikį, bet neviršijant šioms reikmėms pagal Aprašo 1 priede nurodytus koefici</w:t>
      </w:r>
      <w:r w:rsidR="00E6099D" w:rsidRPr="000D0A59">
        <w:rPr>
          <w:lang w:eastAsia="lt-LT"/>
        </w:rPr>
        <w:t>entus apskaičiuotų lėšų.</w:t>
      </w:r>
      <w:r w:rsidRPr="000D0A59">
        <w:rPr>
          <w:lang w:eastAsia="lt-LT"/>
        </w:rPr>
        <w:t xml:space="preserve"> Tvarkos</w:t>
      </w:r>
      <w:r w:rsidR="00E6099D" w:rsidRPr="000D0A59">
        <w:rPr>
          <w:lang w:eastAsia="lt-LT"/>
        </w:rPr>
        <w:t xml:space="preserve"> 13.5</w:t>
      </w:r>
      <w:r w:rsidR="00AE22D2" w:rsidRPr="000D0A59">
        <w:rPr>
          <w:lang w:eastAsia="lt-LT"/>
        </w:rPr>
        <w:t xml:space="preserve"> papunktyje nurodytoms ugdymo reikmėms tenkinti (skaitmeninio ugdymo plėtrai) skiriama ne mažiau kaip 100 procentų lėšų, apskaičiuotų pagal Aprašo 1 priede nurodytą atitinkamą ugdymo reikmių koeficientą ir faktinį mokinių skaičių, iš jų informacinių ir komunikacinių technologinei įrangai įsigyti gali būti skiriama ne </w:t>
      </w:r>
      <w:r w:rsidR="002F4F8F" w:rsidRPr="000D0A59">
        <w:rPr>
          <w:lang w:eastAsia="lt-LT"/>
        </w:rPr>
        <w:t>daugiau</w:t>
      </w:r>
      <w:r w:rsidR="00AE22D2" w:rsidRPr="000D0A59">
        <w:rPr>
          <w:lang w:eastAsia="lt-LT"/>
        </w:rPr>
        <w:t xml:space="preserve"> kaip 30 procentų lėšų.</w:t>
      </w:r>
    </w:p>
    <w:p w14:paraId="12A35E81" w14:textId="77777777" w:rsidR="00AE22D2" w:rsidRPr="000D0A59" w:rsidRDefault="00AE22D2" w:rsidP="00F5174F">
      <w:pPr>
        <w:ind w:firstLine="720"/>
        <w:jc w:val="both"/>
        <w:rPr>
          <w:lang w:eastAsia="lt-LT"/>
        </w:rPr>
      </w:pPr>
      <w:r w:rsidRPr="000D0A59">
        <w:rPr>
          <w:lang w:eastAsia="lt-LT"/>
        </w:rPr>
        <w:t>15.</w:t>
      </w:r>
      <w:r w:rsidR="00E6099D" w:rsidRPr="000D0A59">
        <w:rPr>
          <w:lang w:eastAsia="lt-LT"/>
        </w:rPr>
        <w:t xml:space="preserve"> </w:t>
      </w:r>
      <w:r w:rsidRPr="000D0A59">
        <w:rPr>
          <w:b/>
          <w:lang w:eastAsia="lt-LT"/>
        </w:rPr>
        <w:t>Mokykloms skiriamos</w:t>
      </w:r>
      <w:r w:rsidRPr="000D0A59">
        <w:rPr>
          <w:lang w:eastAsia="lt-LT"/>
        </w:rPr>
        <w:t xml:space="preserve"> mokymo lėšos paskirstomos šioms ugdymo reikmėms tenkinti:</w:t>
      </w:r>
    </w:p>
    <w:p w14:paraId="206D4139" w14:textId="77777777" w:rsidR="00AE22D2" w:rsidRPr="000D0A59" w:rsidRDefault="00AE22D2" w:rsidP="00F5174F">
      <w:pPr>
        <w:ind w:firstLine="720"/>
        <w:jc w:val="both"/>
        <w:rPr>
          <w:lang w:eastAsia="lt-LT"/>
        </w:rPr>
      </w:pPr>
      <w:r w:rsidRPr="000D0A59">
        <w:rPr>
          <w:lang w:eastAsia="lt-LT"/>
        </w:rPr>
        <w:lastRenderedPageBreak/>
        <w:t>15.1.</w:t>
      </w:r>
      <w:r w:rsidR="00E6099D" w:rsidRPr="000D0A59">
        <w:rPr>
          <w:lang w:eastAsia="lt-LT"/>
        </w:rPr>
        <w:t xml:space="preserve"> </w:t>
      </w:r>
      <w:r w:rsidRPr="000D0A59">
        <w:rPr>
          <w:lang w:eastAsia="lt-LT"/>
        </w:rPr>
        <w:t xml:space="preserve">vadovėliams ir kitoms mokymo priemonėms (įsigyti ir nuomoti, įskaitant ir skaitmenines versijas); </w:t>
      </w:r>
    </w:p>
    <w:p w14:paraId="1A6BF0B1" w14:textId="77777777" w:rsidR="00AE22D2" w:rsidRPr="000D0A59" w:rsidRDefault="00AE22D2" w:rsidP="00F5174F">
      <w:pPr>
        <w:ind w:firstLine="720"/>
        <w:jc w:val="both"/>
        <w:rPr>
          <w:lang w:eastAsia="lt-LT"/>
        </w:rPr>
      </w:pPr>
      <w:r w:rsidRPr="000D0A59">
        <w:rPr>
          <w:lang w:eastAsia="lt-LT"/>
        </w:rPr>
        <w:t>15.2.</w:t>
      </w:r>
      <w:r w:rsidR="00E6099D" w:rsidRPr="000D0A59">
        <w:rPr>
          <w:lang w:eastAsia="lt-LT"/>
        </w:rPr>
        <w:t xml:space="preserve"> </w:t>
      </w:r>
      <w:r w:rsidRPr="000D0A59">
        <w:rPr>
          <w:lang w:eastAsia="lt-LT"/>
        </w:rPr>
        <w:t>mokinių pažintinei veiklai ir profesiniam orientavimui;</w:t>
      </w:r>
    </w:p>
    <w:p w14:paraId="39FD66A1" w14:textId="77777777" w:rsidR="00AE22D2" w:rsidRPr="000D0A59" w:rsidRDefault="00AE22D2" w:rsidP="00F5174F">
      <w:pPr>
        <w:ind w:firstLine="720"/>
        <w:jc w:val="both"/>
        <w:rPr>
          <w:lang w:eastAsia="lt-LT"/>
        </w:rPr>
      </w:pPr>
      <w:r w:rsidRPr="000D0A59">
        <w:rPr>
          <w:lang w:eastAsia="lt-LT"/>
        </w:rPr>
        <w:t>15.3.</w:t>
      </w:r>
      <w:r w:rsidR="00E6099D" w:rsidRPr="000D0A59">
        <w:rPr>
          <w:lang w:eastAsia="lt-LT"/>
        </w:rPr>
        <w:t xml:space="preserve"> </w:t>
      </w:r>
      <w:r w:rsidRPr="000D0A59">
        <w:rPr>
          <w:lang w:eastAsia="lt-LT"/>
        </w:rPr>
        <w:t>mokytojų ir kitų ugdymo procese dalyvaujančių asmenų kvalifikacijai tobulinti;</w:t>
      </w:r>
    </w:p>
    <w:p w14:paraId="49570E65" w14:textId="77777777" w:rsidR="00AE22D2" w:rsidRPr="000D0A59" w:rsidRDefault="00AE22D2" w:rsidP="00F5174F">
      <w:pPr>
        <w:tabs>
          <w:tab w:val="left" w:pos="720"/>
        </w:tabs>
        <w:ind w:firstLine="720"/>
        <w:jc w:val="both"/>
        <w:rPr>
          <w:lang w:eastAsia="lt-LT"/>
        </w:rPr>
      </w:pPr>
      <w:r w:rsidRPr="000D0A59">
        <w:rPr>
          <w:lang w:eastAsia="lt-LT"/>
        </w:rPr>
        <w:t>15.4.</w:t>
      </w:r>
      <w:r w:rsidR="00E6099D" w:rsidRPr="000D0A59">
        <w:rPr>
          <w:lang w:eastAsia="lt-LT"/>
        </w:rPr>
        <w:t xml:space="preserve"> </w:t>
      </w:r>
      <w:r w:rsidRPr="000D0A59">
        <w:rPr>
          <w:lang w:eastAsia="lt-LT"/>
        </w:rPr>
        <w:t>informacinėms ir komunikacinėms technologijoms (IKT) diegti ir naudoti (internetui diegti ir naudoti, duomenų bazėms, elektroniniams dienynams tvarkyti ir kitoms išlaidoms, susijusioms su IKT).</w:t>
      </w:r>
    </w:p>
    <w:p w14:paraId="2BD025B7" w14:textId="77777777" w:rsidR="00AE22D2" w:rsidRPr="000D0A59" w:rsidRDefault="001608DE" w:rsidP="00F5174F">
      <w:pPr>
        <w:ind w:firstLine="720"/>
        <w:jc w:val="both"/>
        <w:rPr>
          <w:lang w:eastAsia="lt-LT"/>
        </w:rPr>
      </w:pPr>
      <w:r w:rsidRPr="000D0A59">
        <w:rPr>
          <w:lang w:eastAsia="lt-LT"/>
        </w:rPr>
        <w:t>16.</w:t>
      </w:r>
      <w:r w:rsidR="00F5174F" w:rsidRPr="000D0A59">
        <w:rPr>
          <w:lang w:eastAsia="lt-LT"/>
        </w:rPr>
        <w:t xml:space="preserve"> </w:t>
      </w:r>
      <w:r w:rsidRPr="000D0A59">
        <w:rPr>
          <w:lang w:eastAsia="lt-LT"/>
        </w:rPr>
        <w:t>Tvarkos</w:t>
      </w:r>
      <w:r w:rsidR="00AE22D2" w:rsidRPr="000D0A59">
        <w:rPr>
          <w:lang w:eastAsia="lt-LT"/>
        </w:rPr>
        <w:t xml:space="preserve"> 15.1–15.3 papunkčiuose nurodytoms ugdymo reikmėms tenkinti mokyklos turi skirti ne mažiau kaip 80 procentų, o 15.4 papunktyje nurodytoms ugdymo reikmėms – ne mažiau kaip 40 procentų lėšų, apskaičiuotų pagal Aprašo 1 priede nurodytus koeficientus. Nepanaudojus lėšų 15 punkte nurodytoms ugdymo reikmėms, jos pagal poreikį gali būti naudojamos kitoms įstaigos mokymo lėšų išlaidoms.</w:t>
      </w:r>
    </w:p>
    <w:p w14:paraId="6B439BF8" w14:textId="77777777" w:rsidR="00AE22D2" w:rsidRPr="000D0A59" w:rsidRDefault="00AE22D2" w:rsidP="00F5174F">
      <w:pPr>
        <w:suppressAutoHyphens/>
        <w:rPr>
          <w:rFonts w:eastAsia="Batang"/>
          <w:b/>
          <w:lang w:eastAsia="ar-SA"/>
        </w:rPr>
      </w:pPr>
    </w:p>
    <w:p w14:paraId="1BC365AB" w14:textId="77777777" w:rsidR="00AE22D2" w:rsidRPr="000D0A59" w:rsidRDefault="00AE22D2" w:rsidP="00F5174F">
      <w:pPr>
        <w:suppressAutoHyphens/>
        <w:ind w:left="567" w:hanging="425"/>
        <w:jc w:val="center"/>
        <w:rPr>
          <w:rFonts w:eastAsia="Batang"/>
          <w:b/>
          <w:lang w:eastAsia="ar-SA"/>
        </w:rPr>
      </w:pPr>
      <w:r w:rsidRPr="000D0A59">
        <w:rPr>
          <w:rFonts w:eastAsia="Batang"/>
          <w:b/>
          <w:lang w:eastAsia="ar-SA"/>
        </w:rPr>
        <w:t>IV SKYRIUS</w:t>
      </w:r>
    </w:p>
    <w:p w14:paraId="32200C3E" w14:textId="77777777" w:rsidR="00AE22D2" w:rsidRPr="000D0A59" w:rsidRDefault="00AE22D2" w:rsidP="00F5174F">
      <w:pPr>
        <w:suppressAutoHyphens/>
        <w:ind w:left="567" w:hanging="425"/>
        <w:jc w:val="center"/>
        <w:rPr>
          <w:rFonts w:eastAsia="Batang"/>
          <w:b/>
          <w:lang w:eastAsia="ar-SA"/>
        </w:rPr>
      </w:pPr>
      <w:r w:rsidRPr="000D0A59">
        <w:rPr>
          <w:rFonts w:eastAsia="Batang"/>
          <w:b/>
          <w:lang w:eastAsia="ar-SA"/>
        </w:rPr>
        <w:t xml:space="preserve"> LĖŠŲ UGDYMO FINANSAVIMO POREIKIŲ SKIRTUMAMS TARP MOKYKLŲ SUMAŽINTI APSKAIČIAVIMAS, PASKIRSTYMAS IR NAUDOJIMAS</w:t>
      </w:r>
    </w:p>
    <w:p w14:paraId="12826611" w14:textId="77777777" w:rsidR="00AE22D2" w:rsidRPr="000D0A59" w:rsidRDefault="00AE22D2" w:rsidP="00F5174F">
      <w:pPr>
        <w:suppressAutoHyphens/>
        <w:jc w:val="both"/>
        <w:rPr>
          <w:rFonts w:eastAsia="Batang"/>
          <w:b/>
          <w:lang w:eastAsia="ar-SA"/>
        </w:rPr>
      </w:pPr>
    </w:p>
    <w:p w14:paraId="2F924EDA" w14:textId="77777777" w:rsidR="00AE22D2" w:rsidRPr="000D0A59" w:rsidRDefault="00AE22D2" w:rsidP="00F5174F">
      <w:pPr>
        <w:suppressAutoHyphens/>
        <w:ind w:firstLine="638"/>
        <w:jc w:val="both"/>
        <w:rPr>
          <w:rFonts w:eastAsia="Batang"/>
          <w:lang w:eastAsia="ar-SA"/>
        </w:rPr>
      </w:pPr>
      <w:r w:rsidRPr="000D0A59">
        <w:rPr>
          <w:rFonts w:eastAsia="Batang"/>
          <w:lang w:eastAsia="ar-SA"/>
        </w:rPr>
        <w:t>17.</w:t>
      </w:r>
      <w:r w:rsidR="00F5174F" w:rsidRPr="000D0A59">
        <w:rPr>
          <w:rFonts w:eastAsia="Batang"/>
          <w:lang w:eastAsia="ar-SA"/>
        </w:rPr>
        <w:t xml:space="preserve"> </w:t>
      </w:r>
      <w:r w:rsidRPr="000D0A59">
        <w:rPr>
          <w:rFonts w:eastAsia="Batang"/>
          <w:lang w:eastAsia="ar-SA"/>
        </w:rPr>
        <w:t>Lėšos ugdymo finansavimo poreikių skirtumam</w:t>
      </w:r>
      <w:r w:rsidR="001608DE" w:rsidRPr="000D0A59">
        <w:rPr>
          <w:rFonts w:eastAsia="Batang"/>
          <w:lang w:eastAsia="ar-SA"/>
        </w:rPr>
        <w:t>s tarp mokyklų sumažinti sudaro</w:t>
      </w:r>
      <w:r w:rsidRPr="000D0A59">
        <w:rPr>
          <w:rFonts w:eastAsia="Batang"/>
          <w:lang w:eastAsia="ar-SA"/>
        </w:rPr>
        <w:t xml:space="preserve"> 2,4 procentus, apskaičiuotus nuo lėšų ugdymo</w:t>
      </w:r>
      <w:r w:rsidR="00F5174F" w:rsidRPr="000D0A59">
        <w:rPr>
          <w:rFonts w:eastAsia="Batang"/>
          <w:lang w:eastAsia="ar-SA"/>
        </w:rPr>
        <w:t xml:space="preserve"> planui įgyvendinti sumos. Šias</w:t>
      </w:r>
      <w:r w:rsidRPr="000D0A59">
        <w:rPr>
          <w:rFonts w:eastAsia="Batang"/>
          <w:lang w:eastAsia="ar-SA"/>
        </w:rPr>
        <w:t xml:space="preserve"> lėšas naudoja savivaldybė ir Tarybos sprendimu skiria toms mokykloms, kuriose yra didesni finansavimo poreikiai:</w:t>
      </w:r>
    </w:p>
    <w:p w14:paraId="1AE7CF46" w14:textId="77777777" w:rsidR="00AE22D2" w:rsidRPr="000D0A59" w:rsidRDefault="00AE22D2" w:rsidP="00F5174F">
      <w:pPr>
        <w:suppressAutoHyphens/>
        <w:ind w:firstLine="638"/>
        <w:jc w:val="both"/>
        <w:rPr>
          <w:rFonts w:eastAsia="Batang"/>
          <w:lang w:eastAsia="ar-SA"/>
        </w:rPr>
      </w:pPr>
      <w:r w:rsidRPr="000D0A59">
        <w:rPr>
          <w:rFonts w:eastAsia="Batang"/>
          <w:lang w:eastAsia="ar-SA"/>
        </w:rPr>
        <w:t>17.1.</w:t>
      </w:r>
      <w:r w:rsidR="00F5174F" w:rsidRPr="000D0A59">
        <w:rPr>
          <w:rFonts w:eastAsia="Batang"/>
          <w:lang w:eastAsia="ar-SA"/>
        </w:rPr>
        <w:t xml:space="preserve"> </w:t>
      </w:r>
      <w:r w:rsidRPr="000D0A59">
        <w:rPr>
          <w:bCs/>
          <w:lang w:eastAsia="lt-LT"/>
        </w:rPr>
        <w:t xml:space="preserve">pedagoginių darbuotojų </w:t>
      </w:r>
      <w:r w:rsidRPr="000D0A59">
        <w:t>pareiginės algos pastoviosios dalies</w:t>
      </w:r>
      <w:r w:rsidRPr="000D0A59">
        <w:rPr>
          <w:bCs/>
          <w:lang w:eastAsia="lt-LT"/>
        </w:rPr>
        <w:t xml:space="preserve"> koeficientų</w:t>
      </w:r>
      <w:r w:rsidR="00F5174F" w:rsidRPr="000D0A59">
        <w:rPr>
          <w:bCs/>
          <w:lang w:eastAsia="lt-LT"/>
        </w:rPr>
        <w:t xml:space="preserve"> skirtumams mokyklose išlyginti</w:t>
      </w:r>
      <w:r w:rsidRPr="000D0A59">
        <w:rPr>
          <w:bCs/>
          <w:lang w:eastAsia="lt-LT"/>
        </w:rPr>
        <w:t xml:space="preserve"> (įskaitant </w:t>
      </w:r>
      <w:r w:rsidRPr="000D0A59">
        <w:rPr>
          <w:lang w:eastAsia="lt-LT"/>
        </w:rPr>
        <w:t>pareiginės algos pastoviosios dalies koeficientų padidinimą dėl veiklos sudėtingumo);</w:t>
      </w:r>
    </w:p>
    <w:p w14:paraId="4A076E3F" w14:textId="77777777" w:rsidR="00AE22D2" w:rsidRPr="000D0A59" w:rsidRDefault="00AE22D2" w:rsidP="00F5174F">
      <w:pPr>
        <w:suppressAutoHyphens/>
        <w:ind w:firstLine="638"/>
        <w:jc w:val="both"/>
        <w:rPr>
          <w:lang w:eastAsia="lt-LT"/>
        </w:rPr>
      </w:pPr>
      <w:r w:rsidRPr="000D0A59">
        <w:rPr>
          <w:rFonts w:eastAsia="Batang"/>
          <w:lang w:eastAsia="ar-SA"/>
        </w:rPr>
        <w:t>17.2.</w:t>
      </w:r>
      <w:r w:rsidR="00F5174F" w:rsidRPr="000D0A59">
        <w:rPr>
          <w:rFonts w:eastAsia="Batang"/>
          <w:lang w:eastAsia="ar-SA"/>
        </w:rPr>
        <w:t xml:space="preserve"> </w:t>
      </w:r>
      <w:r w:rsidRPr="000D0A59">
        <w:rPr>
          <w:lang w:eastAsia="lt-LT"/>
        </w:rPr>
        <w:t>ikimokyklinio, priešmokyklinio ir bendrojo ugdymo prieinamumui užtikrinti (tarp jų ir mokyti namuose);</w:t>
      </w:r>
    </w:p>
    <w:p w14:paraId="1A1D3B1C" w14:textId="77777777" w:rsidR="00AE22D2" w:rsidRPr="000D0A59" w:rsidRDefault="00AE22D2" w:rsidP="00F5174F">
      <w:pPr>
        <w:suppressAutoHyphens/>
        <w:ind w:firstLine="638"/>
        <w:jc w:val="both"/>
        <w:rPr>
          <w:rFonts w:eastAsia="Batang"/>
          <w:lang w:eastAsia="ar-SA"/>
        </w:rPr>
      </w:pPr>
      <w:r w:rsidRPr="000D0A59">
        <w:rPr>
          <w:rFonts w:eastAsia="Batang"/>
          <w:lang w:eastAsia="ar-SA"/>
        </w:rPr>
        <w:t>17.3</w:t>
      </w:r>
      <w:r w:rsidR="00F5174F" w:rsidRPr="000D0A59">
        <w:rPr>
          <w:rFonts w:eastAsia="Batang"/>
          <w:lang w:eastAsia="ar-SA"/>
        </w:rPr>
        <w:t>.</w:t>
      </w:r>
      <w:r w:rsidRPr="000D0A59">
        <w:rPr>
          <w:rFonts w:eastAsia="Batang"/>
          <w:lang w:eastAsia="ar-SA"/>
        </w:rPr>
        <w:t xml:space="preserve"> </w:t>
      </w:r>
      <w:r w:rsidRPr="000D0A59">
        <w:rPr>
          <w:lang w:eastAsia="lt-LT"/>
        </w:rPr>
        <w:t>ikimokyklinio ir priešmokyklinio ugdymo formų įvairovei diegti;</w:t>
      </w:r>
    </w:p>
    <w:p w14:paraId="6E715AF0" w14:textId="77777777" w:rsidR="00AE22D2" w:rsidRPr="000D0A59" w:rsidRDefault="00AE22D2" w:rsidP="00F5174F">
      <w:pPr>
        <w:suppressAutoHyphens/>
        <w:ind w:firstLine="638"/>
        <w:jc w:val="both"/>
        <w:rPr>
          <w:rFonts w:eastAsia="Batang"/>
          <w:lang w:eastAsia="ar-SA"/>
        </w:rPr>
      </w:pPr>
      <w:r w:rsidRPr="000D0A59">
        <w:rPr>
          <w:rFonts w:eastAsia="Batang"/>
          <w:lang w:eastAsia="ar-SA"/>
        </w:rPr>
        <w:t>17.4</w:t>
      </w:r>
      <w:r w:rsidR="00F5174F" w:rsidRPr="000D0A59">
        <w:rPr>
          <w:rFonts w:eastAsia="Batang"/>
          <w:lang w:eastAsia="ar-SA"/>
        </w:rPr>
        <w:t>.</w:t>
      </w:r>
      <w:r w:rsidRPr="000D0A59">
        <w:rPr>
          <w:rFonts w:eastAsia="Batang"/>
          <w:lang w:eastAsia="ar-SA"/>
        </w:rPr>
        <w:t xml:space="preserve"> </w:t>
      </w:r>
      <w:r w:rsidRPr="000D0A59">
        <w:rPr>
          <w:lang w:eastAsia="lt-LT"/>
        </w:rPr>
        <w:t>f</w:t>
      </w:r>
      <w:r w:rsidRPr="000D0A59">
        <w:rPr>
          <w:bCs/>
          <w:lang w:eastAsia="lt-LT"/>
        </w:rPr>
        <w:t xml:space="preserve">inansuoti užsienio kalbų mokymuisi laikinosiose grupėse, mažesnėse už numatytąsias </w:t>
      </w:r>
      <w:r w:rsidRPr="000D0A59">
        <w:rPr>
          <w:lang w:eastAsia="lt-LT"/>
        </w:rPr>
        <w:t>švietimo ir mokslo ministro tvirtinamuose</w:t>
      </w:r>
      <w:r w:rsidRPr="000D0A59">
        <w:rPr>
          <w:b/>
          <w:lang w:eastAsia="lt-LT"/>
        </w:rPr>
        <w:t xml:space="preserve"> </w:t>
      </w:r>
      <w:r w:rsidRPr="000D0A59">
        <w:rPr>
          <w:bCs/>
          <w:lang w:eastAsia="lt-LT"/>
        </w:rPr>
        <w:t>pradinio, pagrindinio ir vidurinio ugdymo programų bendruosiuose ugdymo planuose;</w:t>
      </w:r>
    </w:p>
    <w:p w14:paraId="0DBAAB1E" w14:textId="77777777" w:rsidR="00F5174F" w:rsidRPr="000D0A59" w:rsidRDefault="00AE22D2" w:rsidP="00F5174F">
      <w:pPr>
        <w:suppressAutoHyphens/>
        <w:ind w:firstLine="638"/>
        <w:jc w:val="both"/>
        <w:rPr>
          <w:bCs/>
          <w:lang w:eastAsia="lt-LT"/>
        </w:rPr>
      </w:pPr>
      <w:r w:rsidRPr="000D0A59">
        <w:rPr>
          <w:rFonts w:eastAsia="Batang"/>
          <w:lang w:eastAsia="ar-SA"/>
        </w:rPr>
        <w:t>17.5.</w:t>
      </w:r>
      <w:r w:rsidR="00F5174F" w:rsidRPr="000D0A59">
        <w:rPr>
          <w:rFonts w:eastAsia="Batang"/>
          <w:lang w:eastAsia="ar-SA"/>
        </w:rPr>
        <w:t xml:space="preserve"> </w:t>
      </w:r>
      <w:r w:rsidRPr="000D0A59">
        <w:rPr>
          <w:bCs/>
          <w:lang w:eastAsia="lt-LT"/>
        </w:rPr>
        <w:t>finansuoti priemonėms, skirtoms mokinių iš nepalankios socialinės, ekonominės ir kultūrinės aplinkos mokymosi skirtumams sumažinti.</w:t>
      </w:r>
    </w:p>
    <w:p w14:paraId="4D43502D" w14:textId="77777777" w:rsidR="00F5174F" w:rsidRPr="000D0A59" w:rsidRDefault="00F5174F" w:rsidP="00F5174F">
      <w:pPr>
        <w:suppressAutoHyphens/>
        <w:ind w:firstLine="638"/>
        <w:jc w:val="both"/>
        <w:rPr>
          <w:bCs/>
          <w:lang w:eastAsia="lt-LT"/>
        </w:rPr>
      </w:pPr>
    </w:p>
    <w:p w14:paraId="2A67A39E" w14:textId="77777777" w:rsidR="00AE22D2" w:rsidRPr="000D0A59" w:rsidRDefault="00AE22D2" w:rsidP="00F5174F">
      <w:pPr>
        <w:suppressAutoHyphens/>
        <w:rPr>
          <w:rFonts w:eastAsia="Batang"/>
          <w:b/>
          <w:lang w:eastAsia="ar-SA"/>
        </w:rPr>
      </w:pPr>
      <w:r w:rsidRPr="000D0A59">
        <w:rPr>
          <w:rFonts w:eastAsia="Batang"/>
          <w:b/>
          <w:lang w:eastAsia="ar-SA"/>
        </w:rPr>
        <w:t xml:space="preserve">                                                                         V SKYRIUS</w:t>
      </w:r>
    </w:p>
    <w:p w14:paraId="64FCB2FF" w14:textId="77777777" w:rsidR="00AE22D2" w:rsidRPr="000D0A59" w:rsidRDefault="00AE22D2" w:rsidP="00F5174F">
      <w:pPr>
        <w:suppressAutoHyphens/>
        <w:ind w:left="2694" w:hanging="426"/>
        <w:jc w:val="both"/>
        <w:rPr>
          <w:rFonts w:eastAsia="Batang"/>
          <w:b/>
          <w:lang w:eastAsia="ar-SA"/>
        </w:rPr>
      </w:pPr>
      <w:r w:rsidRPr="000D0A59">
        <w:rPr>
          <w:rFonts w:eastAsia="Batang"/>
          <w:b/>
          <w:lang w:eastAsia="ar-SA"/>
        </w:rPr>
        <w:t xml:space="preserve">                  BAIGIAMOSIOS NUOSTATOS</w:t>
      </w:r>
    </w:p>
    <w:p w14:paraId="4D6BCF3B" w14:textId="77777777" w:rsidR="00AE22D2" w:rsidRPr="000D0A59" w:rsidRDefault="00AE22D2" w:rsidP="00F5174F">
      <w:pPr>
        <w:suppressAutoHyphens/>
        <w:ind w:left="4395"/>
        <w:jc w:val="both"/>
        <w:rPr>
          <w:rFonts w:eastAsia="Batang"/>
          <w:b/>
          <w:lang w:eastAsia="ar-SA"/>
        </w:rPr>
      </w:pPr>
    </w:p>
    <w:p w14:paraId="3BF9E82B" w14:textId="77777777" w:rsidR="00AE22D2" w:rsidRPr="000D0A59" w:rsidRDefault="00AE22D2" w:rsidP="00F5174F">
      <w:pPr>
        <w:suppressAutoHyphens/>
        <w:ind w:firstLine="709"/>
        <w:jc w:val="both"/>
        <w:rPr>
          <w:rFonts w:eastAsia="Batang"/>
          <w:lang w:eastAsia="ar-SA"/>
        </w:rPr>
      </w:pPr>
      <w:r w:rsidRPr="000D0A59">
        <w:rPr>
          <w:rFonts w:eastAsia="Batang"/>
          <w:lang w:eastAsia="ar-SA"/>
        </w:rPr>
        <w:t>18.</w:t>
      </w:r>
      <w:r w:rsidR="00F5174F" w:rsidRPr="000D0A59">
        <w:rPr>
          <w:rFonts w:eastAsia="Batang"/>
          <w:lang w:eastAsia="ar-SA"/>
        </w:rPr>
        <w:t xml:space="preserve"> </w:t>
      </w:r>
      <w:r w:rsidRPr="000D0A59">
        <w:rPr>
          <w:rFonts w:eastAsia="Batang"/>
          <w:lang w:eastAsia="ar-SA"/>
        </w:rPr>
        <w:t>Mokymo lėšos tarp mokyklų perskirstomos pakitus mokinių ir sąlyginiam klasių (grupių) skaičiui einamųjų metų rugsėjo 1 d.</w:t>
      </w:r>
      <w:r w:rsidR="00F5174F" w:rsidRPr="000D0A59">
        <w:rPr>
          <w:rFonts w:eastAsia="Batang"/>
          <w:lang w:eastAsia="ar-SA"/>
        </w:rPr>
        <w:t>,</w:t>
      </w:r>
      <w:r w:rsidRPr="000D0A59">
        <w:rPr>
          <w:rFonts w:eastAsia="Batang"/>
          <w:lang w:eastAsia="ar-SA"/>
        </w:rPr>
        <w:t xml:space="preserve"> jeigu kitaip nenumato atitinkamų metų Lietuvos Respublikos valstybės biudžeto ir savivaldybių biudžetų finansinių rodiklių patvirtinimo įstatymas ir galiojantis Aprašas.</w:t>
      </w:r>
    </w:p>
    <w:p w14:paraId="7D4C9C60" w14:textId="77777777" w:rsidR="00AE22D2" w:rsidRPr="000D0A59" w:rsidRDefault="00AE22D2" w:rsidP="00F5174F">
      <w:pPr>
        <w:suppressAutoHyphens/>
        <w:ind w:firstLine="709"/>
        <w:jc w:val="both"/>
        <w:rPr>
          <w:rFonts w:eastAsia="Batang"/>
          <w:lang w:eastAsia="ar-SA"/>
        </w:rPr>
      </w:pPr>
      <w:r w:rsidRPr="000D0A59">
        <w:rPr>
          <w:rFonts w:eastAsia="Batang"/>
          <w:lang w:eastAsia="ar-SA"/>
        </w:rPr>
        <w:t>19.</w:t>
      </w:r>
      <w:r w:rsidR="00F5174F" w:rsidRPr="000D0A59">
        <w:rPr>
          <w:rFonts w:eastAsia="Batang"/>
          <w:lang w:eastAsia="ar-SA"/>
        </w:rPr>
        <w:t xml:space="preserve"> </w:t>
      </w:r>
      <w:r w:rsidRPr="000D0A59">
        <w:rPr>
          <w:rFonts w:eastAsia="Batang"/>
          <w:lang w:eastAsia="ar-SA"/>
        </w:rPr>
        <w:t>Mokyklų mokymo lėšų apskaita turi būti tvarkoma atskirai nuo kitų veiklų, atskaitomybė Finansų skyriui teikiama Savivaldybės administracijos direktoriaus nustatyta tvarka ir terminais.</w:t>
      </w:r>
    </w:p>
    <w:p w14:paraId="7F17F825" w14:textId="77777777" w:rsidR="00AE22D2" w:rsidRPr="000D0A59" w:rsidRDefault="00AE22D2" w:rsidP="00F5174F">
      <w:pPr>
        <w:suppressAutoHyphens/>
        <w:ind w:firstLine="709"/>
        <w:jc w:val="both"/>
        <w:rPr>
          <w:rFonts w:eastAsia="Batang"/>
          <w:lang w:eastAsia="ar-SA"/>
        </w:rPr>
      </w:pPr>
      <w:r w:rsidRPr="000D0A59">
        <w:rPr>
          <w:rFonts w:eastAsia="Batang"/>
          <w:lang w:eastAsia="ar-SA"/>
        </w:rPr>
        <w:t>20.</w:t>
      </w:r>
      <w:r w:rsidR="00F5174F" w:rsidRPr="000D0A59">
        <w:rPr>
          <w:rFonts w:eastAsia="Batang"/>
          <w:lang w:eastAsia="ar-SA"/>
        </w:rPr>
        <w:t xml:space="preserve"> </w:t>
      </w:r>
      <w:r w:rsidRPr="000D0A59">
        <w:rPr>
          <w:rFonts w:eastAsia="Batang"/>
          <w:lang w:eastAsia="ar-SA"/>
        </w:rPr>
        <w:t>Už mokymo lėšų panaudojimą valstybinėms institucijoms atsiskaitoma teisės aktų nustatyta tvarka.</w:t>
      </w:r>
    </w:p>
    <w:p w14:paraId="5597AB96" w14:textId="77777777" w:rsidR="00AE22D2" w:rsidRPr="000D0A59" w:rsidRDefault="00AE22D2" w:rsidP="00F5174F">
      <w:pPr>
        <w:ind w:firstLine="720"/>
        <w:jc w:val="both"/>
      </w:pPr>
      <w:r w:rsidRPr="000D0A59">
        <w:rPr>
          <w:rFonts w:eastAsia="Batang"/>
          <w:lang w:eastAsia="ar-SA"/>
        </w:rPr>
        <w:t>21.</w:t>
      </w:r>
      <w:r w:rsidR="00F5174F" w:rsidRPr="000D0A59">
        <w:rPr>
          <w:rFonts w:eastAsia="Batang"/>
          <w:lang w:eastAsia="ar-SA"/>
        </w:rPr>
        <w:t xml:space="preserve"> </w:t>
      </w:r>
      <w:r w:rsidRPr="000D0A59">
        <w:t>Mokyklos vadovas atsako už:</w:t>
      </w:r>
    </w:p>
    <w:p w14:paraId="369E74FB" w14:textId="77777777" w:rsidR="00F5174F" w:rsidRPr="000D0A59" w:rsidRDefault="00AE22D2" w:rsidP="00F5174F">
      <w:pPr>
        <w:ind w:firstLine="720"/>
        <w:jc w:val="both"/>
      </w:pPr>
      <w:r w:rsidRPr="000D0A59">
        <w:t>21.1.</w:t>
      </w:r>
      <w:r w:rsidR="00F5174F" w:rsidRPr="000D0A59">
        <w:t xml:space="preserve"> nustatytais terminais </w:t>
      </w:r>
      <w:r w:rsidRPr="000D0A59">
        <w:t>teisingą duomenų apie mokinių skaičių pateikimą;</w:t>
      </w:r>
    </w:p>
    <w:p w14:paraId="77FA92B4" w14:textId="77777777" w:rsidR="00F5174F" w:rsidRPr="000D0A59" w:rsidRDefault="00AE22D2" w:rsidP="00F5174F">
      <w:pPr>
        <w:ind w:firstLine="720"/>
        <w:jc w:val="both"/>
      </w:pPr>
      <w:r w:rsidRPr="000D0A59">
        <w:t>21.2.</w:t>
      </w:r>
      <w:r w:rsidR="00F5174F" w:rsidRPr="000D0A59">
        <w:t xml:space="preserve"> </w:t>
      </w:r>
      <w:r w:rsidRPr="000D0A59">
        <w:t>paskirtų asignavimų naudojimo teisėtumą, ekonomiškumą, efektyvumą ir rezultatyvumą;</w:t>
      </w:r>
    </w:p>
    <w:p w14:paraId="62DAF534" w14:textId="77777777" w:rsidR="00AE22D2" w:rsidRPr="000D0A59" w:rsidRDefault="00AE22D2" w:rsidP="00F5174F">
      <w:pPr>
        <w:ind w:firstLine="720"/>
        <w:jc w:val="both"/>
      </w:pPr>
      <w:r w:rsidRPr="000D0A59">
        <w:t>21.3.</w:t>
      </w:r>
      <w:r w:rsidR="00F5174F" w:rsidRPr="000D0A59">
        <w:t xml:space="preserve"> </w:t>
      </w:r>
      <w:r w:rsidRPr="000D0A59">
        <w:t>pagal Viešojo sektoriaus atskaitomybės įstatymą teikiamų ataskaitų rinkinių teisingumą ir pateikimą laiku.</w:t>
      </w:r>
    </w:p>
    <w:p w14:paraId="170D0C15" w14:textId="0243E5AA" w:rsidR="00AE22D2" w:rsidRPr="000D0A59" w:rsidRDefault="00AE22D2" w:rsidP="000D0A59">
      <w:pPr>
        <w:ind w:firstLine="720"/>
        <w:jc w:val="both"/>
      </w:pPr>
      <w:r w:rsidRPr="000D0A59">
        <w:t>22.</w:t>
      </w:r>
      <w:r w:rsidR="00F5174F" w:rsidRPr="000D0A59">
        <w:t xml:space="preserve"> </w:t>
      </w:r>
      <w:r w:rsidRPr="000D0A59">
        <w:t>Mokymo lėšų panaudojimo kontrolė vykdoma teisės aktų nustatyta tvarka.</w:t>
      </w:r>
    </w:p>
    <w:p w14:paraId="60B8AA2C" w14:textId="5F8F67E0" w:rsidR="000D0A59" w:rsidRPr="000D0A59" w:rsidRDefault="00AE22D2" w:rsidP="004B1133">
      <w:pPr>
        <w:suppressAutoHyphens/>
        <w:jc w:val="center"/>
        <w:rPr>
          <w:rFonts w:eastAsia="Batang"/>
          <w:lang w:eastAsia="ar-SA"/>
        </w:rPr>
      </w:pPr>
      <w:r w:rsidRPr="00E13BDF">
        <w:rPr>
          <w:rFonts w:eastAsia="Batang"/>
          <w:lang w:eastAsia="ar-SA"/>
        </w:rPr>
        <w:t>_______________________________</w:t>
      </w:r>
      <w:r w:rsidR="000D0A59">
        <w:rPr>
          <w:rFonts w:eastAsia="Batang"/>
          <w:lang w:eastAsia="ar-SA"/>
        </w:rPr>
        <w:tab/>
      </w:r>
    </w:p>
    <w:sectPr w:rsidR="000D0A59" w:rsidRPr="000D0A59" w:rsidSect="00873540">
      <w:pgSz w:w="11906" w:h="16838" w:code="9"/>
      <w:pgMar w:top="1134" w:right="567" w:bottom="993" w:left="1701"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BCC2F" w14:textId="77777777" w:rsidR="009E7CBA" w:rsidRDefault="009E7CBA">
      <w:r>
        <w:separator/>
      </w:r>
    </w:p>
  </w:endnote>
  <w:endnote w:type="continuationSeparator" w:id="0">
    <w:p w14:paraId="45501FD6" w14:textId="77777777" w:rsidR="009E7CBA" w:rsidRDefault="009E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0180F" w14:textId="77777777" w:rsidR="009E7CBA" w:rsidRDefault="009E7CBA">
      <w:r>
        <w:separator/>
      </w:r>
    </w:p>
  </w:footnote>
  <w:footnote w:type="continuationSeparator" w:id="0">
    <w:p w14:paraId="60448F16" w14:textId="77777777" w:rsidR="009E7CBA" w:rsidRDefault="009E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010D0" w14:textId="77777777" w:rsidR="000D0A59" w:rsidRDefault="000D0A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41CD8A" w14:textId="77777777" w:rsidR="000D0A59" w:rsidRDefault="000D0A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935818"/>
      <w:docPartObj>
        <w:docPartGallery w:val="Page Numbers (Top of Page)"/>
        <w:docPartUnique/>
      </w:docPartObj>
    </w:sdtPr>
    <w:sdtContent>
      <w:p w14:paraId="5792D889" w14:textId="3E8DA5EC" w:rsidR="00873540" w:rsidRDefault="00873540">
        <w:pPr>
          <w:pStyle w:val="Antrats"/>
          <w:jc w:val="center"/>
        </w:pPr>
        <w:r>
          <w:fldChar w:fldCharType="begin"/>
        </w:r>
        <w:r>
          <w:instrText>PAGE   \* MERGEFORMAT</w:instrText>
        </w:r>
        <w:r>
          <w:fldChar w:fldCharType="separate"/>
        </w:r>
        <w:r>
          <w:t>2</w:t>
        </w:r>
        <w:r>
          <w:fldChar w:fldCharType="end"/>
        </w:r>
      </w:p>
    </w:sdtContent>
  </w:sdt>
  <w:p w14:paraId="69C6F952" w14:textId="77777777" w:rsidR="000D0A59" w:rsidRDefault="000D0A59" w:rsidP="000D0A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B808D" w14:textId="410E09EC" w:rsidR="00873540" w:rsidRDefault="00873540">
    <w:pPr>
      <w:pStyle w:val="Antrats"/>
      <w:jc w:val="center"/>
    </w:pPr>
  </w:p>
  <w:p w14:paraId="6A16B82E" w14:textId="77777777" w:rsidR="000D0A59" w:rsidRPr="00876EDD" w:rsidRDefault="000D0A59"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3AA10559"/>
    <w:multiLevelType w:val="hybridMultilevel"/>
    <w:tmpl w:val="59580828"/>
    <w:lvl w:ilvl="0" w:tplc="062E4D9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B29422B"/>
    <w:multiLevelType w:val="hybridMultilevel"/>
    <w:tmpl w:val="997CCDA8"/>
    <w:lvl w:ilvl="0" w:tplc="100C19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4"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3541"/>
    <w:rsid w:val="00004163"/>
    <w:rsid w:val="00005BCB"/>
    <w:rsid w:val="00015F0E"/>
    <w:rsid w:val="00020A7C"/>
    <w:rsid w:val="00023762"/>
    <w:rsid w:val="00024818"/>
    <w:rsid w:val="00027EA0"/>
    <w:rsid w:val="00032C7F"/>
    <w:rsid w:val="000447A1"/>
    <w:rsid w:val="000447FA"/>
    <w:rsid w:val="00046C07"/>
    <w:rsid w:val="0005608F"/>
    <w:rsid w:val="00070120"/>
    <w:rsid w:val="00070FDE"/>
    <w:rsid w:val="000719BE"/>
    <w:rsid w:val="00071C74"/>
    <w:rsid w:val="00074CAD"/>
    <w:rsid w:val="00076890"/>
    <w:rsid w:val="00076F98"/>
    <w:rsid w:val="00083A13"/>
    <w:rsid w:val="0008491B"/>
    <w:rsid w:val="000B0B05"/>
    <w:rsid w:val="000C2E29"/>
    <w:rsid w:val="000C386C"/>
    <w:rsid w:val="000C41FC"/>
    <w:rsid w:val="000C72D8"/>
    <w:rsid w:val="000D0A59"/>
    <w:rsid w:val="000D14B4"/>
    <w:rsid w:val="000D3FF7"/>
    <w:rsid w:val="000D5504"/>
    <w:rsid w:val="000E3ACB"/>
    <w:rsid w:val="000F0D8C"/>
    <w:rsid w:val="000F0FCE"/>
    <w:rsid w:val="000F5055"/>
    <w:rsid w:val="000F637A"/>
    <w:rsid w:val="001039C2"/>
    <w:rsid w:val="00104A5E"/>
    <w:rsid w:val="00105A3B"/>
    <w:rsid w:val="0010607E"/>
    <w:rsid w:val="00111956"/>
    <w:rsid w:val="00111F4A"/>
    <w:rsid w:val="00121D85"/>
    <w:rsid w:val="001242BE"/>
    <w:rsid w:val="0012470C"/>
    <w:rsid w:val="00125EB2"/>
    <w:rsid w:val="00127579"/>
    <w:rsid w:val="00127BB9"/>
    <w:rsid w:val="0013139B"/>
    <w:rsid w:val="0013476C"/>
    <w:rsid w:val="00136BBA"/>
    <w:rsid w:val="001513D0"/>
    <w:rsid w:val="001518CB"/>
    <w:rsid w:val="00154B0F"/>
    <w:rsid w:val="00156B3A"/>
    <w:rsid w:val="001608DE"/>
    <w:rsid w:val="001749BA"/>
    <w:rsid w:val="00185FA1"/>
    <w:rsid w:val="00195D02"/>
    <w:rsid w:val="001964D7"/>
    <w:rsid w:val="001971B0"/>
    <w:rsid w:val="001A0FB3"/>
    <w:rsid w:val="001A5622"/>
    <w:rsid w:val="001B0AB8"/>
    <w:rsid w:val="001C0622"/>
    <w:rsid w:val="001C55A0"/>
    <w:rsid w:val="001D320C"/>
    <w:rsid w:val="001D78D8"/>
    <w:rsid w:val="001E033B"/>
    <w:rsid w:val="001F0869"/>
    <w:rsid w:val="001F0BFA"/>
    <w:rsid w:val="001F2008"/>
    <w:rsid w:val="001F7F59"/>
    <w:rsid w:val="002004FC"/>
    <w:rsid w:val="00216631"/>
    <w:rsid w:val="002253B9"/>
    <w:rsid w:val="00225FE9"/>
    <w:rsid w:val="00226390"/>
    <w:rsid w:val="00232650"/>
    <w:rsid w:val="00236860"/>
    <w:rsid w:val="00241642"/>
    <w:rsid w:val="00247BD4"/>
    <w:rsid w:val="0025385C"/>
    <w:rsid w:val="00266D5D"/>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E3734"/>
    <w:rsid w:val="002E4D82"/>
    <w:rsid w:val="002E7BEF"/>
    <w:rsid w:val="002F1B2F"/>
    <w:rsid w:val="002F4D47"/>
    <w:rsid w:val="002F4F8F"/>
    <w:rsid w:val="002F5913"/>
    <w:rsid w:val="00312DB4"/>
    <w:rsid w:val="00313699"/>
    <w:rsid w:val="00313FCD"/>
    <w:rsid w:val="00314970"/>
    <w:rsid w:val="00315464"/>
    <w:rsid w:val="00316976"/>
    <w:rsid w:val="003177D0"/>
    <w:rsid w:val="00321A19"/>
    <w:rsid w:val="0033142E"/>
    <w:rsid w:val="0033231D"/>
    <w:rsid w:val="003330B1"/>
    <w:rsid w:val="00340AAE"/>
    <w:rsid w:val="00345C3D"/>
    <w:rsid w:val="00346AF0"/>
    <w:rsid w:val="00356AEA"/>
    <w:rsid w:val="003575E8"/>
    <w:rsid w:val="0037767B"/>
    <w:rsid w:val="00381148"/>
    <w:rsid w:val="00381C0D"/>
    <w:rsid w:val="003828EA"/>
    <w:rsid w:val="003952B0"/>
    <w:rsid w:val="003A1E5B"/>
    <w:rsid w:val="003A52E8"/>
    <w:rsid w:val="003A6C50"/>
    <w:rsid w:val="003B43C1"/>
    <w:rsid w:val="003C04DE"/>
    <w:rsid w:val="003C4DBF"/>
    <w:rsid w:val="003D2CDA"/>
    <w:rsid w:val="003D4946"/>
    <w:rsid w:val="003E7D3D"/>
    <w:rsid w:val="003F17DD"/>
    <w:rsid w:val="003F22AD"/>
    <w:rsid w:val="003F284C"/>
    <w:rsid w:val="003F5A4B"/>
    <w:rsid w:val="003F7C28"/>
    <w:rsid w:val="00402BC1"/>
    <w:rsid w:val="004113D3"/>
    <w:rsid w:val="00412CF0"/>
    <w:rsid w:val="00413C7A"/>
    <w:rsid w:val="0043350F"/>
    <w:rsid w:val="004361B7"/>
    <w:rsid w:val="004402CB"/>
    <w:rsid w:val="00441B85"/>
    <w:rsid w:val="00443ED5"/>
    <w:rsid w:val="004448F4"/>
    <w:rsid w:val="00451206"/>
    <w:rsid w:val="0045210C"/>
    <w:rsid w:val="00464DB8"/>
    <w:rsid w:val="00466D1C"/>
    <w:rsid w:val="004676EF"/>
    <w:rsid w:val="0047030A"/>
    <w:rsid w:val="004733E5"/>
    <w:rsid w:val="004744D1"/>
    <w:rsid w:val="00482B2F"/>
    <w:rsid w:val="00484A2D"/>
    <w:rsid w:val="00492FF0"/>
    <w:rsid w:val="004958E9"/>
    <w:rsid w:val="004A3FFC"/>
    <w:rsid w:val="004B1133"/>
    <w:rsid w:val="004B3025"/>
    <w:rsid w:val="004B5368"/>
    <w:rsid w:val="004C0B59"/>
    <w:rsid w:val="004C3B66"/>
    <w:rsid w:val="004D2D4D"/>
    <w:rsid w:val="004E0385"/>
    <w:rsid w:val="004E7A54"/>
    <w:rsid w:val="004F3396"/>
    <w:rsid w:val="004F33C9"/>
    <w:rsid w:val="00512914"/>
    <w:rsid w:val="00513A2B"/>
    <w:rsid w:val="005455D9"/>
    <w:rsid w:val="005540DE"/>
    <w:rsid w:val="00554EA7"/>
    <w:rsid w:val="0056776D"/>
    <w:rsid w:val="00581C02"/>
    <w:rsid w:val="005852B7"/>
    <w:rsid w:val="00597690"/>
    <w:rsid w:val="00597BBF"/>
    <w:rsid w:val="005A3406"/>
    <w:rsid w:val="005A56C3"/>
    <w:rsid w:val="005B037F"/>
    <w:rsid w:val="005B33F9"/>
    <w:rsid w:val="005C1F69"/>
    <w:rsid w:val="005C3A4A"/>
    <w:rsid w:val="005C66AA"/>
    <w:rsid w:val="005D3B7F"/>
    <w:rsid w:val="005E2640"/>
    <w:rsid w:val="005E4A3C"/>
    <w:rsid w:val="005E666B"/>
    <w:rsid w:val="005F0F9D"/>
    <w:rsid w:val="005F708E"/>
    <w:rsid w:val="00600373"/>
    <w:rsid w:val="00605156"/>
    <w:rsid w:val="00611E1C"/>
    <w:rsid w:val="0061538F"/>
    <w:rsid w:val="00617E2F"/>
    <w:rsid w:val="00622F9C"/>
    <w:rsid w:val="00623F10"/>
    <w:rsid w:val="00625ECA"/>
    <w:rsid w:val="00632820"/>
    <w:rsid w:val="00642833"/>
    <w:rsid w:val="00643334"/>
    <w:rsid w:val="00645FF2"/>
    <w:rsid w:val="00652743"/>
    <w:rsid w:val="00657B81"/>
    <w:rsid w:val="00665F60"/>
    <w:rsid w:val="006711F8"/>
    <w:rsid w:val="00673B3A"/>
    <w:rsid w:val="0068017D"/>
    <w:rsid w:val="00682F9C"/>
    <w:rsid w:val="00684197"/>
    <w:rsid w:val="006910E4"/>
    <w:rsid w:val="00692EB2"/>
    <w:rsid w:val="006943BB"/>
    <w:rsid w:val="006A3571"/>
    <w:rsid w:val="006A4F10"/>
    <w:rsid w:val="006A5EDC"/>
    <w:rsid w:val="006C3F48"/>
    <w:rsid w:val="006C77E1"/>
    <w:rsid w:val="006E0E1A"/>
    <w:rsid w:val="006E6B6C"/>
    <w:rsid w:val="006F34C8"/>
    <w:rsid w:val="0071541F"/>
    <w:rsid w:val="00715740"/>
    <w:rsid w:val="00716FFF"/>
    <w:rsid w:val="0072191F"/>
    <w:rsid w:val="007239CE"/>
    <w:rsid w:val="00731728"/>
    <w:rsid w:val="00741DB8"/>
    <w:rsid w:val="00742611"/>
    <w:rsid w:val="00745050"/>
    <w:rsid w:val="00745FDE"/>
    <w:rsid w:val="007474DF"/>
    <w:rsid w:val="007479E8"/>
    <w:rsid w:val="00754F90"/>
    <w:rsid w:val="00766FDB"/>
    <w:rsid w:val="007738FC"/>
    <w:rsid w:val="007773D9"/>
    <w:rsid w:val="00785BAF"/>
    <w:rsid w:val="007874BA"/>
    <w:rsid w:val="0078770F"/>
    <w:rsid w:val="00794AC3"/>
    <w:rsid w:val="00795589"/>
    <w:rsid w:val="00797F72"/>
    <w:rsid w:val="007A2169"/>
    <w:rsid w:val="007A4292"/>
    <w:rsid w:val="007A7853"/>
    <w:rsid w:val="007B16E6"/>
    <w:rsid w:val="007B20B8"/>
    <w:rsid w:val="007B4ABD"/>
    <w:rsid w:val="007C4735"/>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14946"/>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3540"/>
    <w:rsid w:val="00876EDD"/>
    <w:rsid w:val="00881E13"/>
    <w:rsid w:val="0088205D"/>
    <w:rsid w:val="00893AB1"/>
    <w:rsid w:val="008B062A"/>
    <w:rsid w:val="008B55DC"/>
    <w:rsid w:val="008B7887"/>
    <w:rsid w:val="008B7C65"/>
    <w:rsid w:val="008C2C3F"/>
    <w:rsid w:val="008D024A"/>
    <w:rsid w:val="008D36EE"/>
    <w:rsid w:val="008D404E"/>
    <w:rsid w:val="008E1EB1"/>
    <w:rsid w:val="008E524D"/>
    <w:rsid w:val="008E5E12"/>
    <w:rsid w:val="008E6766"/>
    <w:rsid w:val="00901FF1"/>
    <w:rsid w:val="00904DD2"/>
    <w:rsid w:val="00906F75"/>
    <w:rsid w:val="00910A69"/>
    <w:rsid w:val="00914CE8"/>
    <w:rsid w:val="00920D9E"/>
    <w:rsid w:val="00931097"/>
    <w:rsid w:val="009311DC"/>
    <w:rsid w:val="0093426F"/>
    <w:rsid w:val="009349F8"/>
    <w:rsid w:val="00937154"/>
    <w:rsid w:val="009444EF"/>
    <w:rsid w:val="009616A9"/>
    <w:rsid w:val="009651F4"/>
    <w:rsid w:val="009703C9"/>
    <w:rsid w:val="00973493"/>
    <w:rsid w:val="00975725"/>
    <w:rsid w:val="00976D9B"/>
    <w:rsid w:val="00977939"/>
    <w:rsid w:val="00981D0B"/>
    <w:rsid w:val="009916F2"/>
    <w:rsid w:val="00992DDB"/>
    <w:rsid w:val="009953B7"/>
    <w:rsid w:val="009972EF"/>
    <w:rsid w:val="009B61DF"/>
    <w:rsid w:val="009C07D3"/>
    <w:rsid w:val="009C23FF"/>
    <w:rsid w:val="009C392D"/>
    <w:rsid w:val="009D47ED"/>
    <w:rsid w:val="009E0CA5"/>
    <w:rsid w:val="009E27F9"/>
    <w:rsid w:val="009E7204"/>
    <w:rsid w:val="009E7CBA"/>
    <w:rsid w:val="009F34EA"/>
    <w:rsid w:val="009F4816"/>
    <w:rsid w:val="009F6653"/>
    <w:rsid w:val="009F6DD7"/>
    <w:rsid w:val="00A0110E"/>
    <w:rsid w:val="00A13837"/>
    <w:rsid w:val="00A17919"/>
    <w:rsid w:val="00A27E94"/>
    <w:rsid w:val="00A347A7"/>
    <w:rsid w:val="00A35D4B"/>
    <w:rsid w:val="00A431C3"/>
    <w:rsid w:val="00A609D4"/>
    <w:rsid w:val="00A617C1"/>
    <w:rsid w:val="00A732FC"/>
    <w:rsid w:val="00A7430F"/>
    <w:rsid w:val="00A75454"/>
    <w:rsid w:val="00A801BF"/>
    <w:rsid w:val="00A81944"/>
    <w:rsid w:val="00A87853"/>
    <w:rsid w:val="00A90C24"/>
    <w:rsid w:val="00A913D7"/>
    <w:rsid w:val="00A95BDC"/>
    <w:rsid w:val="00AA50A1"/>
    <w:rsid w:val="00AB0492"/>
    <w:rsid w:val="00AB48CF"/>
    <w:rsid w:val="00AB6381"/>
    <w:rsid w:val="00AC34C2"/>
    <w:rsid w:val="00AC37D3"/>
    <w:rsid w:val="00AD6256"/>
    <w:rsid w:val="00AE0AEC"/>
    <w:rsid w:val="00AE14A6"/>
    <w:rsid w:val="00AE22D2"/>
    <w:rsid w:val="00AE3E1A"/>
    <w:rsid w:val="00AF1B7A"/>
    <w:rsid w:val="00AF365B"/>
    <w:rsid w:val="00AF6072"/>
    <w:rsid w:val="00AF6610"/>
    <w:rsid w:val="00B07FA0"/>
    <w:rsid w:val="00B21892"/>
    <w:rsid w:val="00B26A17"/>
    <w:rsid w:val="00B3063C"/>
    <w:rsid w:val="00B343C5"/>
    <w:rsid w:val="00B40332"/>
    <w:rsid w:val="00B40C5A"/>
    <w:rsid w:val="00B43F5E"/>
    <w:rsid w:val="00B44AFC"/>
    <w:rsid w:val="00B47631"/>
    <w:rsid w:val="00B510CA"/>
    <w:rsid w:val="00B534CB"/>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5B2E"/>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65F6"/>
    <w:rsid w:val="00C468CF"/>
    <w:rsid w:val="00C56F17"/>
    <w:rsid w:val="00C62975"/>
    <w:rsid w:val="00C62F2B"/>
    <w:rsid w:val="00C64A85"/>
    <w:rsid w:val="00C66EC8"/>
    <w:rsid w:val="00C7205F"/>
    <w:rsid w:val="00C90E4B"/>
    <w:rsid w:val="00C94DA8"/>
    <w:rsid w:val="00C95292"/>
    <w:rsid w:val="00CA0645"/>
    <w:rsid w:val="00CA19DA"/>
    <w:rsid w:val="00CA79C6"/>
    <w:rsid w:val="00CB62A2"/>
    <w:rsid w:val="00CC2CA0"/>
    <w:rsid w:val="00CD15B8"/>
    <w:rsid w:val="00CD2399"/>
    <w:rsid w:val="00CD66A1"/>
    <w:rsid w:val="00CD6CFC"/>
    <w:rsid w:val="00CE1575"/>
    <w:rsid w:val="00CE261B"/>
    <w:rsid w:val="00CE309A"/>
    <w:rsid w:val="00CE7682"/>
    <w:rsid w:val="00CF098E"/>
    <w:rsid w:val="00D16D48"/>
    <w:rsid w:val="00D26760"/>
    <w:rsid w:val="00D34271"/>
    <w:rsid w:val="00D3547A"/>
    <w:rsid w:val="00D37EA3"/>
    <w:rsid w:val="00D41595"/>
    <w:rsid w:val="00D447DC"/>
    <w:rsid w:val="00D50AAF"/>
    <w:rsid w:val="00D523FB"/>
    <w:rsid w:val="00D54D03"/>
    <w:rsid w:val="00D70AEE"/>
    <w:rsid w:val="00D730C1"/>
    <w:rsid w:val="00D7405D"/>
    <w:rsid w:val="00D75256"/>
    <w:rsid w:val="00D77662"/>
    <w:rsid w:val="00D802E4"/>
    <w:rsid w:val="00D8117E"/>
    <w:rsid w:val="00D815B9"/>
    <w:rsid w:val="00D81CA8"/>
    <w:rsid w:val="00D83F2B"/>
    <w:rsid w:val="00D86F5C"/>
    <w:rsid w:val="00D9390D"/>
    <w:rsid w:val="00DA6ABE"/>
    <w:rsid w:val="00DB0AFC"/>
    <w:rsid w:val="00DB4BC8"/>
    <w:rsid w:val="00DC4E69"/>
    <w:rsid w:val="00DC75E6"/>
    <w:rsid w:val="00DD2E3E"/>
    <w:rsid w:val="00DF0916"/>
    <w:rsid w:val="00DF50FE"/>
    <w:rsid w:val="00E000B4"/>
    <w:rsid w:val="00E00758"/>
    <w:rsid w:val="00E021DA"/>
    <w:rsid w:val="00E03861"/>
    <w:rsid w:val="00E05737"/>
    <w:rsid w:val="00E05BA3"/>
    <w:rsid w:val="00E10420"/>
    <w:rsid w:val="00E1179A"/>
    <w:rsid w:val="00E12637"/>
    <w:rsid w:val="00E13BDF"/>
    <w:rsid w:val="00E14235"/>
    <w:rsid w:val="00E143A6"/>
    <w:rsid w:val="00E15F9D"/>
    <w:rsid w:val="00E16839"/>
    <w:rsid w:val="00E174E0"/>
    <w:rsid w:val="00E20E4D"/>
    <w:rsid w:val="00E25CE6"/>
    <w:rsid w:val="00E3249F"/>
    <w:rsid w:val="00E343A6"/>
    <w:rsid w:val="00E37559"/>
    <w:rsid w:val="00E41492"/>
    <w:rsid w:val="00E41670"/>
    <w:rsid w:val="00E45B15"/>
    <w:rsid w:val="00E50016"/>
    <w:rsid w:val="00E577FF"/>
    <w:rsid w:val="00E6099D"/>
    <w:rsid w:val="00E63DD2"/>
    <w:rsid w:val="00E661B6"/>
    <w:rsid w:val="00E71914"/>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A7EF9"/>
    <w:rsid w:val="00EB006E"/>
    <w:rsid w:val="00EB512C"/>
    <w:rsid w:val="00EB69A7"/>
    <w:rsid w:val="00EC298D"/>
    <w:rsid w:val="00ED5588"/>
    <w:rsid w:val="00EE0A8F"/>
    <w:rsid w:val="00EE0A9C"/>
    <w:rsid w:val="00EE6792"/>
    <w:rsid w:val="00EF00BA"/>
    <w:rsid w:val="00EF58DD"/>
    <w:rsid w:val="00F14618"/>
    <w:rsid w:val="00F36994"/>
    <w:rsid w:val="00F4146F"/>
    <w:rsid w:val="00F43195"/>
    <w:rsid w:val="00F478DD"/>
    <w:rsid w:val="00F5174F"/>
    <w:rsid w:val="00F60E02"/>
    <w:rsid w:val="00F66591"/>
    <w:rsid w:val="00F6776B"/>
    <w:rsid w:val="00F82010"/>
    <w:rsid w:val="00F825AE"/>
    <w:rsid w:val="00F9337A"/>
    <w:rsid w:val="00F94D76"/>
    <w:rsid w:val="00F96994"/>
    <w:rsid w:val="00F96D77"/>
    <w:rsid w:val="00FB457A"/>
    <w:rsid w:val="00FC34C4"/>
    <w:rsid w:val="00FC51CE"/>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A6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Pagrindiniotekstotrauka">
    <w:name w:val="Body Text Indent"/>
    <w:basedOn w:val="prastasis"/>
    <w:link w:val="PagrindiniotekstotraukaDiagrama"/>
    <w:semiHidden/>
    <w:unhideWhenUsed/>
    <w:rsid w:val="0033142E"/>
    <w:pPr>
      <w:spacing w:after="120"/>
      <w:ind w:left="283"/>
    </w:pPr>
  </w:style>
  <w:style w:type="character" w:customStyle="1" w:styleId="PagrindiniotekstotraukaDiagrama">
    <w:name w:val="Pagrindinio teksto įtrauka Diagrama"/>
    <w:basedOn w:val="Numatytasispastraiposriftas"/>
    <w:link w:val="Pagrindiniotekstotrauka"/>
    <w:semiHidden/>
    <w:rsid w:val="0033142E"/>
    <w:rPr>
      <w:sz w:val="24"/>
      <w:lang w:eastAsia="en-US" w:bidi="ar-SA"/>
    </w:rPr>
  </w:style>
  <w:style w:type="paragraph" w:styleId="Betarp">
    <w:name w:val="No Spacing"/>
    <w:uiPriority w:val="1"/>
    <w:qFormat/>
    <w:rsid w:val="00F5174F"/>
    <w:rPr>
      <w:sz w:val="24"/>
      <w:lang w:eastAsia="en-US" w:bidi="ar-SA"/>
    </w:rPr>
  </w:style>
  <w:style w:type="paragraph" w:styleId="Pavadinimas">
    <w:name w:val="Title"/>
    <w:basedOn w:val="prastasis"/>
    <w:link w:val="PavadinimasDiagrama"/>
    <w:qFormat/>
    <w:rsid w:val="000D0A59"/>
    <w:pPr>
      <w:jc w:val="center"/>
    </w:pPr>
    <w:rPr>
      <w:b/>
    </w:rPr>
  </w:style>
  <w:style w:type="character" w:customStyle="1" w:styleId="PavadinimasDiagrama">
    <w:name w:val="Pavadinimas Diagrama"/>
    <w:basedOn w:val="Numatytasispastraiposriftas"/>
    <w:link w:val="Pavadinimas"/>
    <w:rsid w:val="000D0A59"/>
    <w:rPr>
      <w:b/>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9274-27BA-4354-8414-E5617F7F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9799</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2020-11-13T13:45:00Z</dcterms:created>
  <dcterms:modified xsi:type="dcterms:W3CDTF">2020-12-01T10:57:00Z</dcterms:modified>
</cp:coreProperties>
</file>